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7" w:rsidRDefault="00D35227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4pt">
            <v:imagedata r:id="rId8" o:title="" gain="136533f" blacklevel="5898f"/>
          </v:shape>
        </w:pict>
      </w:r>
    </w:p>
    <w:p w:rsidR="00731715" w:rsidRDefault="00731715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1715" w:rsidRDefault="00731715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31715" w:rsidRDefault="005D2117" w:rsidP="00F02A33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731715" w:rsidRDefault="00731715" w:rsidP="00F02A33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ПОСТАНОВЛЕНИЕ</w:t>
      </w:r>
    </w:p>
    <w:p w:rsidR="00731715" w:rsidRPr="00991851" w:rsidRDefault="00731715" w:rsidP="005D21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35227">
        <w:rPr>
          <w:rFonts w:ascii="Times New Roman" w:hAnsi="Times New Roman" w:cs="Times New Roman"/>
          <w:b/>
          <w:sz w:val="28"/>
          <w:szCs w:val="28"/>
        </w:rPr>
        <w:t>28.02.2022</w:t>
      </w:r>
      <w:r w:rsidR="005D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851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D35227">
        <w:rPr>
          <w:rFonts w:ascii="Times New Roman" w:hAnsi="Times New Roman" w:cs="Times New Roman"/>
          <w:b/>
          <w:sz w:val="28"/>
          <w:szCs w:val="28"/>
        </w:rPr>
        <w:t>22</w:t>
      </w:r>
    </w:p>
    <w:p w:rsidR="00731715" w:rsidRPr="00991851" w:rsidRDefault="005D2117" w:rsidP="005D21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Медниково</w:t>
      </w:r>
    </w:p>
    <w:p w:rsidR="00731715" w:rsidRPr="00991851" w:rsidRDefault="00731715" w:rsidP="00F02A33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9"/>
      </w:tblGrid>
      <w:tr w:rsidR="00731715" w:rsidRPr="00991851" w:rsidTr="00EF40D7">
        <w:trPr>
          <w:trHeight w:val="501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</w:tcPr>
          <w:p w:rsidR="00731715" w:rsidRDefault="00731715" w:rsidP="00991851">
            <w:pPr>
              <w:pStyle w:val="ConsPlusTitle"/>
              <w:jc w:val="center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991851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>О внесении</w:t>
            </w:r>
            <w:r w:rsidR="005D2117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 xml:space="preserve"> изменений в постановление от 29</w:t>
            </w:r>
            <w:r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 xml:space="preserve">.11.2021 № </w:t>
            </w:r>
            <w:r w:rsidR="005D2117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>122</w:t>
            </w:r>
            <w:r w:rsidR="00D35227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 xml:space="preserve"> «Об утверждении </w:t>
            </w:r>
            <w:r w:rsidR="00D35227" w:rsidRPr="00D35227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Порядка исполнения бюджета Медниковского сельского поселения по расходам и санкционирования оплаты денежных обязательств получателей средств бюджета Медниковского сельского поселения</w:t>
            </w:r>
            <w:r w:rsidR="00D35227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»</w:t>
            </w:r>
          </w:p>
          <w:p w:rsidR="00D35227" w:rsidRPr="00991851" w:rsidRDefault="00D35227" w:rsidP="009918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731715" w:rsidRPr="005D2117" w:rsidRDefault="00731715" w:rsidP="005D2117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5D2117">
        <w:rPr>
          <w:sz w:val="28"/>
          <w:szCs w:val="28"/>
        </w:rPr>
        <w:t xml:space="preserve">С целью упрощения санкционирования расходов в части предоставления субсидий АУ, БУ, а также с целью упрощения заполнения Распоряжений и предоставления подтверждающих документов по данным расходам, руководствуясь статьей 219 Бюджетного кодекса Российской Федерации, Администрация </w:t>
      </w:r>
      <w:r w:rsidR="00075CDC">
        <w:rPr>
          <w:sz w:val="28"/>
          <w:szCs w:val="28"/>
        </w:rPr>
        <w:t>Медниковского</w:t>
      </w:r>
      <w:r w:rsidRPr="005D2117">
        <w:rPr>
          <w:sz w:val="28"/>
          <w:szCs w:val="28"/>
        </w:rPr>
        <w:t xml:space="preserve"> сельского поселения </w:t>
      </w:r>
      <w:r w:rsidRPr="005D2117">
        <w:rPr>
          <w:b/>
          <w:sz w:val="28"/>
          <w:szCs w:val="28"/>
        </w:rPr>
        <w:t>ПОСТАНОВЛЯЕТ:</w:t>
      </w:r>
    </w:p>
    <w:p w:rsidR="00731715" w:rsidRPr="005D2117" w:rsidRDefault="00731715" w:rsidP="005D2117">
      <w:pPr>
        <w:numPr>
          <w:ilvl w:val="0"/>
          <w:numId w:val="14"/>
        </w:numPr>
        <w:shd w:val="clear" w:color="auto" w:fill="FFFFFF"/>
        <w:ind w:left="0" w:firstLine="426"/>
        <w:jc w:val="both"/>
        <w:rPr>
          <w:color w:val="282828"/>
          <w:sz w:val="28"/>
          <w:szCs w:val="28"/>
          <w:shd w:val="clear" w:color="auto" w:fill="FFFFFF"/>
        </w:rPr>
      </w:pPr>
      <w:r w:rsidRPr="005D2117">
        <w:rPr>
          <w:color w:val="282828"/>
          <w:sz w:val="28"/>
          <w:szCs w:val="28"/>
          <w:shd w:val="clear" w:color="auto" w:fill="FFFFFF"/>
        </w:rPr>
        <w:t>Внести изменения в</w:t>
      </w:r>
      <w:r w:rsidRPr="005D2117">
        <w:rPr>
          <w:sz w:val="28"/>
          <w:szCs w:val="28"/>
        </w:rPr>
        <w:t xml:space="preserve"> 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Порядок исполнения бюджета </w:t>
      </w:r>
      <w:r w:rsidR="00075CDC">
        <w:rPr>
          <w:color w:val="282828"/>
          <w:sz w:val="28"/>
          <w:szCs w:val="28"/>
          <w:shd w:val="clear" w:color="auto" w:fill="FFFFFF"/>
        </w:rPr>
        <w:t>Медниковского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r w:rsidR="00075CDC">
        <w:rPr>
          <w:color w:val="282828"/>
          <w:sz w:val="28"/>
          <w:szCs w:val="28"/>
          <w:shd w:val="clear" w:color="auto" w:fill="FFFFFF"/>
        </w:rPr>
        <w:t>Медниковского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сельского поселения, утвержденный постановлением Администрации </w:t>
      </w:r>
      <w:r w:rsidR="00075CDC">
        <w:rPr>
          <w:color w:val="282828"/>
          <w:sz w:val="28"/>
          <w:szCs w:val="28"/>
          <w:shd w:val="clear" w:color="auto" w:fill="FFFFFF"/>
        </w:rPr>
        <w:t>Медниковского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сельск</w:t>
      </w:r>
      <w:r w:rsidR="00075CDC">
        <w:rPr>
          <w:color w:val="282828"/>
          <w:sz w:val="28"/>
          <w:szCs w:val="28"/>
          <w:shd w:val="clear" w:color="auto" w:fill="FFFFFF"/>
        </w:rPr>
        <w:t>ого поселения от 29.11.2021 № 122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«</w:t>
      </w:r>
      <w:r w:rsidRPr="005D2117">
        <w:rPr>
          <w:color w:val="000000"/>
          <w:sz w:val="28"/>
          <w:szCs w:val="28"/>
        </w:rPr>
        <w:t xml:space="preserve">Об утверждении порядка исполнения бюджета </w:t>
      </w:r>
      <w:r w:rsidR="00075CDC">
        <w:rPr>
          <w:color w:val="000000"/>
          <w:sz w:val="28"/>
          <w:szCs w:val="28"/>
        </w:rPr>
        <w:t>Медниковского</w:t>
      </w:r>
      <w:r w:rsidRPr="005D2117">
        <w:rPr>
          <w:color w:val="000000"/>
          <w:sz w:val="28"/>
          <w:szCs w:val="28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r w:rsidR="00075CDC">
        <w:rPr>
          <w:color w:val="000000"/>
          <w:sz w:val="28"/>
          <w:szCs w:val="28"/>
        </w:rPr>
        <w:t>Медниковского</w:t>
      </w:r>
      <w:r w:rsidRPr="005D2117">
        <w:rPr>
          <w:color w:val="000000"/>
          <w:sz w:val="28"/>
          <w:szCs w:val="28"/>
        </w:rPr>
        <w:t xml:space="preserve"> сельского поселения</w:t>
      </w:r>
      <w:r w:rsidRPr="005D2117">
        <w:rPr>
          <w:color w:val="282828"/>
          <w:sz w:val="28"/>
          <w:szCs w:val="28"/>
          <w:shd w:val="clear" w:color="auto" w:fill="FFFFFF"/>
        </w:rPr>
        <w:t>» изложив его в новой редакции.</w:t>
      </w:r>
    </w:p>
    <w:p w:rsidR="00731715" w:rsidRPr="005D2117" w:rsidRDefault="00731715" w:rsidP="005D2117">
      <w:pPr>
        <w:pStyle w:val="a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211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 возникшие с 01 января 2022 года.</w:t>
      </w:r>
    </w:p>
    <w:p w:rsidR="00731715" w:rsidRPr="005D2117" w:rsidRDefault="00731715" w:rsidP="005D2117">
      <w:pPr>
        <w:pStyle w:val="a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2117">
        <w:rPr>
          <w:rFonts w:ascii="Times New Roman" w:hAnsi="Times New Roman"/>
          <w:sz w:val="28"/>
          <w:szCs w:val="28"/>
        </w:rPr>
        <w:t>Опубликовать постановление в муниципальной газете «</w:t>
      </w:r>
      <w:r w:rsidR="00075CDC">
        <w:rPr>
          <w:rFonts w:ascii="Times New Roman" w:hAnsi="Times New Roman"/>
          <w:sz w:val="28"/>
          <w:szCs w:val="28"/>
        </w:rPr>
        <w:t>Медниковский</w:t>
      </w:r>
      <w:r w:rsidRPr="005D211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в информационно - телекоммуникационной сети «Интернет».</w:t>
      </w:r>
    </w:p>
    <w:p w:rsidR="00731715" w:rsidRPr="005D2117" w:rsidRDefault="00731715" w:rsidP="005D2117">
      <w:pPr>
        <w:pStyle w:val="a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211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31715" w:rsidRPr="005D2117" w:rsidRDefault="00731715" w:rsidP="005D2117">
      <w:pPr>
        <w:pStyle w:val="af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731715" w:rsidRDefault="00731715" w:rsidP="005D2117">
      <w:pPr>
        <w:shd w:val="clear" w:color="auto" w:fill="FFFFFF"/>
        <w:jc w:val="both"/>
        <w:rPr>
          <w:b/>
          <w:sz w:val="28"/>
          <w:szCs w:val="28"/>
        </w:rPr>
      </w:pPr>
    </w:p>
    <w:p w:rsidR="005D2117" w:rsidRPr="005D2117" w:rsidRDefault="005D2117" w:rsidP="005D2117">
      <w:pPr>
        <w:shd w:val="clear" w:color="auto" w:fill="FFFFFF"/>
        <w:jc w:val="both"/>
        <w:rPr>
          <w:b/>
          <w:sz w:val="28"/>
          <w:szCs w:val="28"/>
        </w:rPr>
      </w:pPr>
    </w:p>
    <w:p w:rsidR="00731715" w:rsidRPr="005D2117" w:rsidRDefault="00D35227" w:rsidP="005D211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</w:t>
      </w:r>
      <w:r w:rsidR="00731715" w:rsidRPr="005D211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М.Н. Петрова</w:t>
      </w:r>
      <w:r w:rsidR="00731715" w:rsidRPr="005D2117">
        <w:rPr>
          <w:b/>
          <w:sz w:val="28"/>
          <w:szCs w:val="28"/>
        </w:rPr>
        <w:t xml:space="preserve"> </w:t>
      </w:r>
      <w:r w:rsidR="005D2117">
        <w:rPr>
          <w:b/>
          <w:sz w:val="28"/>
          <w:szCs w:val="28"/>
        </w:rPr>
        <w:tab/>
      </w:r>
      <w:r w:rsidR="005D2117">
        <w:rPr>
          <w:b/>
          <w:sz w:val="28"/>
          <w:szCs w:val="28"/>
        </w:rPr>
        <w:tab/>
      </w:r>
      <w:r w:rsidR="005D2117">
        <w:rPr>
          <w:b/>
          <w:sz w:val="28"/>
          <w:szCs w:val="28"/>
        </w:rPr>
        <w:tab/>
      </w:r>
      <w:r w:rsidR="005D2117">
        <w:rPr>
          <w:b/>
          <w:sz w:val="28"/>
          <w:szCs w:val="28"/>
        </w:rPr>
        <w:tab/>
      </w:r>
    </w:p>
    <w:p w:rsidR="00731715" w:rsidRPr="005D2117" w:rsidRDefault="00731715" w:rsidP="005D211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1715" w:rsidRPr="005D2117" w:rsidRDefault="00731715" w:rsidP="005D2117">
      <w:pPr>
        <w:pStyle w:val="ConsPlusTitle"/>
        <w:jc w:val="center"/>
        <w:rPr>
          <w:sz w:val="28"/>
          <w:szCs w:val="28"/>
        </w:rPr>
      </w:pPr>
    </w:p>
    <w:p w:rsidR="005D2117" w:rsidRDefault="00731715" w:rsidP="00D35227">
      <w:pPr>
        <w:pStyle w:val="ConsPlusTitle"/>
        <w:jc w:val="center"/>
        <w:rPr>
          <w:sz w:val="24"/>
          <w:szCs w:val="24"/>
        </w:rPr>
      </w:pPr>
      <w:r w:rsidRPr="005D2117">
        <w:rPr>
          <w:sz w:val="24"/>
          <w:szCs w:val="24"/>
        </w:rPr>
        <w:t xml:space="preserve">                                                                                                           </w:t>
      </w:r>
      <w:r w:rsidR="00D35227">
        <w:rPr>
          <w:sz w:val="24"/>
          <w:szCs w:val="24"/>
        </w:rPr>
        <w:t xml:space="preserve">                              </w:t>
      </w:r>
    </w:p>
    <w:p w:rsidR="00D35227" w:rsidRDefault="00D35227" w:rsidP="00D35227">
      <w:pPr>
        <w:pStyle w:val="ConsPlusTitle"/>
        <w:rPr>
          <w:sz w:val="24"/>
          <w:szCs w:val="24"/>
        </w:rPr>
      </w:pPr>
    </w:p>
    <w:p w:rsidR="005D2117" w:rsidRPr="005D2117" w:rsidRDefault="005D2117" w:rsidP="007567A8">
      <w:pPr>
        <w:pStyle w:val="ConsPlusTitle"/>
        <w:jc w:val="center"/>
        <w:rPr>
          <w:sz w:val="24"/>
          <w:szCs w:val="24"/>
        </w:rPr>
      </w:pPr>
    </w:p>
    <w:p w:rsidR="00731715" w:rsidRPr="005D2117" w:rsidRDefault="00731715" w:rsidP="007567A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D2117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Утвержден </w:t>
      </w:r>
    </w:p>
    <w:p w:rsidR="00731715" w:rsidRPr="005D2117" w:rsidRDefault="00731715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731715" w:rsidRPr="005D2117" w:rsidRDefault="00075C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Медниковского</w:t>
      </w:r>
      <w:r w:rsidR="00731715"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</w:t>
      </w:r>
    </w:p>
    <w:p w:rsidR="00731715" w:rsidRPr="005D2117" w:rsidRDefault="00075C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от 29.11.2022</w:t>
      </w:r>
      <w:r w:rsidR="00731715"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4"/>
          <w:szCs w:val="24"/>
        </w:rPr>
        <w:t>№  122</w:t>
      </w:r>
      <w:r w:rsidR="00731715"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</w:p>
    <w:p w:rsidR="00731715" w:rsidRPr="005D2117" w:rsidRDefault="00731715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>(в редакции о</w:t>
      </w:r>
      <w:r w:rsidR="00075CDC">
        <w:rPr>
          <w:rFonts w:ascii="Times New Roman" w:hAnsi="Times New Roman" w:cs="Times New Roman"/>
          <w:b w:val="0"/>
          <w:bCs/>
          <w:sz w:val="24"/>
          <w:szCs w:val="24"/>
        </w:rPr>
        <w:t xml:space="preserve">т </w:t>
      </w:r>
      <w:r w:rsidR="00D35227">
        <w:rPr>
          <w:rFonts w:ascii="Times New Roman" w:hAnsi="Times New Roman" w:cs="Times New Roman"/>
          <w:b w:val="0"/>
          <w:bCs/>
          <w:sz w:val="24"/>
          <w:szCs w:val="24"/>
        </w:rPr>
        <w:t>28.02.2022</w:t>
      </w:r>
      <w:r w:rsidR="00075CDC">
        <w:rPr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 w:rsidR="00D35227">
        <w:rPr>
          <w:rFonts w:ascii="Times New Roman" w:hAnsi="Times New Roman" w:cs="Times New Roman"/>
          <w:b w:val="0"/>
          <w:bCs/>
          <w:sz w:val="24"/>
          <w:szCs w:val="24"/>
        </w:rPr>
        <w:t>22</w:t>
      </w: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>)</w:t>
      </w:r>
    </w:p>
    <w:p w:rsidR="00731715" w:rsidRPr="005D2117" w:rsidRDefault="00731715" w:rsidP="00D57F1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1715" w:rsidRPr="005D2117" w:rsidRDefault="00731715" w:rsidP="00A45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Порядок исполнения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и санкционирования оплаты денежных обязательств</w:t>
      </w:r>
    </w:p>
    <w:p w:rsidR="00731715" w:rsidRPr="005D2117" w:rsidRDefault="00731715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1715" w:rsidRPr="005D2117" w:rsidRDefault="00731715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1. Настоящий порядок исполнения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</w:t>
      </w:r>
      <w:r w:rsidR="00075CDC">
        <w:rPr>
          <w:rFonts w:ascii="Times New Roman" w:hAnsi="Times New Roman" w:cs="Times New Roman"/>
          <w:sz w:val="24"/>
          <w:szCs w:val="24"/>
        </w:rPr>
        <w:t xml:space="preserve"> казначейства», от 15.05.2020 </w:t>
      </w:r>
      <w:r w:rsidRPr="005D2117">
        <w:rPr>
          <w:rFonts w:ascii="Times New Roman" w:hAnsi="Times New Roman" w:cs="Times New Roman"/>
          <w:sz w:val="24"/>
          <w:szCs w:val="24"/>
        </w:rPr>
        <w:t xml:space="preserve">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 «О Порядке казначейского обслуживания» (далее – Порядок казначейского обслуживания) и устанавливает порядок исполнения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и санкционирования оплаты за счет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денежных обязательств 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2. В соответствии со статьей 219 Бюджетного кодекса Российской Федерации исполнение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предусматривает: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принятие и учет бюджетных и денежных обязательств;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3. Получатели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Получатель), при заключении подлежащих оплате за счет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в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на сумму,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 результатам проведения закрытых конкурсов;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на оказание услуг по изготовлению бланков свидетельств о государственной регистрации актов гражданского состояния;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в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4. Главные распорядители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Главные распорядители) и Получатели осуществляют операции со средствами бюджета </w:t>
      </w:r>
      <w:r w:rsidR="00075CDC">
        <w:rPr>
          <w:rFonts w:ascii="Times New Roman" w:hAnsi="Times New Roman" w:cs="Times New Roman"/>
          <w:sz w:val="24"/>
          <w:szCs w:val="24"/>
        </w:rPr>
        <w:lastRenderedPageBreak/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на лицевых счетах, открытых им в Управлении Федерального казначейства по Новгородской области (далее – Управление).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5. В целях обеспечения казначейских платежей из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Муниципальное учреждение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D211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D2117">
        <w:rPr>
          <w:rFonts w:ascii="Times New Roman" w:hAnsi="Times New Roman" w:cs="Times New Roman"/>
          <w:sz w:val="24"/>
          <w:szCs w:val="24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Финансирование производится на основании кассового плана и заявок на финансирование.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6. Управление на основании поступивших от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 xml:space="preserve">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731715" w:rsidRPr="005D2117" w:rsidRDefault="00731715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731715" w:rsidRPr="005D2117" w:rsidRDefault="00731715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10. Получатели подтверждают обязанность оплатить за счет средств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75CDC">
        <w:rPr>
          <w:rFonts w:ascii="Times New Roman" w:hAnsi="Times New Roman" w:cs="Times New Roman"/>
          <w:bCs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>денежные обязательства в соответствии с распоряжениями о совершении казначейских платежей (далее - Распоряжение)</w:t>
      </w:r>
      <w:r w:rsidRPr="005D2117">
        <w:rPr>
          <w:rStyle w:val="ac"/>
          <w:rFonts w:ascii="Times New Roman" w:hAnsi="Times New Roman"/>
          <w:sz w:val="24"/>
          <w:szCs w:val="24"/>
        </w:rPr>
        <w:footnoteReference w:id="2"/>
      </w:r>
      <w:r w:rsidRPr="005D2117">
        <w:rPr>
          <w:rFonts w:ascii="Times New Roman" w:hAnsi="Times New Roman" w:cs="Times New Roman"/>
          <w:sz w:val="24"/>
          <w:szCs w:val="24"/>
        </w:rPr>
        <w:t xml:space="preserve"> и иными документами, необходимыми для санкционирования их оплаты.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11. Санкционирование оплаты денежных обязательств, подлежащих исполнению за счет средств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>осуществляют уполномоченные органы: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117">
        <w:rPr>
          <w:rFonts w:ascii="Times New Roman" w:hAnsi="Times New Roman" w:cs="Times New Roman"/>
          <w:iCs/>
          <w:sz w:val="24"/>
          <w:szCs w:val="24"/>
        </w:rPr>
        <w:t xml:space="preserve">11.1. Муниципальное учреждение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iCs/>
          <w:sz w:val="24"/>
          <w:szCs w:val="24"/>
        </w:rPr>
        <w:lastRenderedPageBreak/>
        <w:t>денежных обязательств по расходам бюджета поселения: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117">
        <w:rPr>
          <w:rFonts w:ascii="Times New Roman" w:hAnsi="Times New Roman" w:cs="Times New Roman"/>
          <w:iCs/>
          <w:sz w:val="24"/>
          <w:szCs w:val="24"/>
        </w:rPr>
        <w:t>в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117">
        <w:rPr>
          <w:rFonts w:ascii="Times New Roman" w:hAnsi="Times New Roman" w:cs="Times New Roman"/>
          <w:iCs/>
          <w:sz w:val="24"/>
          <w:szCs w:val="24"/>
        </w:rPr>
        <w:t xml:space="preserve">в части капитального строительства и реконструкции объектов муниципальной собственности, государственным заказчиком по которым является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11.</w:t>
      </w:r>
      <w:r w:rsidRPr="005D2117">
        <w:rPr>
          <w:rFonts w:ascii="Times New Roman" w:hAnsi="Times New Roman" w:cs="Times New Roman"/>
          <w:bCs/>
          <w:sz w:val="24"/>
          <w:szCs w:val="24"/>
        </w:rPr>
        <w:t>2</w:t>
      </w:r>
      <w:r w:rsidRPr="005D2117">
        <w:rPr>
          <w:rFonts w:ascii="Times New Roman" w:hAnsi="Times New Roman" w:cs="Times New Roman"/>
          <w:sz w:val="24"/>
          <w:szCs w:val="24"/>
        </w:rPr>
        <w:t xml:space="preserve">. Управление в соответствии с Обращением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Муниципального учреждения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 xml:space="preserve">осуществляет санкционирование расходов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D2117">
        <w:rPr>
          <w:rFonts w:ascii="Times New Roman" w:hAnsi="Times New Roman" w:cs="Times New Roman"/>
          <w:sz w:val="24"/>
          <w:szCs w:val="24"/>
        </w:rPr>
        <w:t>, не указанных в пункте 11.1 настоящего пункта.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12. Для оплаты денежных обязательств Получатель представляет в Управление Распоряжение, составленное в соответствии с требованиями Порядка казначейского обслуживания.</w:t>
      </w:r>
      <w:bookmarkStart w:id="2" w:name="P47"/>
      <w:bookmarkEnd w:id="2"/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D2117">
        <w:rPr>
          <w:rFonts w:ascii="Times New Roman" w:hAnsi="Times New Roman" w:cs="Times New Roman"/>
          <w:sz w:val="24"/>
          <w:szCs w:val="24"/>
          <w:lang w:eastAsia="zh-CN"/>
        </w:rPr>
        <w:t>13. Управление проверяет Распоряжение на наличие в нем следующих реквизитов и показателей: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1) уникального кода П</w:t>
      </w:r>
      <w:r w:rsidRPr="005D2117">
        <w:t xml:space="preserve">олучателя по реестру </w:t>
      </w:r>
      <w:r w:rsidRPr="005D2117">
        <w:rPr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3) суммы перечисления и кода валюты в соответствии с </w:t>
      </w:r>
      <w:hyperlink r:id="rId9" w:history="1">
        <w:r w:rsidRPr="005D2117">
          <w:t>Общероссийским классификатором валют</w:t>
        </w:r>
      </w:hyperlink>
      <w:r w:rsidRPr="005D2117">
        <w:rPr>
          <w:lang w:eastAsia="zh-CN"/>
        </w:rPr>
        <w:t>, в которой оно должно быть произведено;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4) суммы перечисления в валюте Российской Федерации, в рублевом эквиваленте, исчисленном на дату оформления Распоряжения;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5) вида средств (средства </w:t>
      </w:r>
      <w:r w:rsidRPr="005D2117">
        <w:t>бюджета</w:t>
      </w:r>
      <w:r w:rsidRPr="005D2117">
        <w:rPr>
          <w:lang w:eastAsia="zh-CN"/>
        </w:rPr>
        <w:t>);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8) номера и серии чека;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9) срока действия чека;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10) фамилии, имени и отчества получателя средств по чеку;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11) данных документов, удостоверяющих личность получателя средств по чеку;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731715" w:rsidRPr="005D2117" w:rsidRDefault="00731715" w:rsidP="00AB6523">
      <w:pPr>
        <w:pStyle w:val="ConsPlusNormal"/>
        <w:outlineLvl w:val="1"/>
        <w:rPr>
          <w:sz w:val="24"/>
          <w:szCs w:val="24"/>
          <w:lang w:eastAsia="zh-CN"/>
        </w:rPr>
      </w:pPr>
      <w:r w:rsidRPr="005D2117">
        <w:rPr>
          <w:sz w:val="24"/>
          <w:szCs w:val="24"/>
          <w:lang w:eastAsia="zh-CN"/>
        </w:rPr>
        <w:t xml:space="preserve">13) </w:t>
      </w:r>
      <w:r w:rsidRPr="005D2117">
        <w:rPr>
          <w:rFonts w:ascii="Times New Roman" w:hAnsi="Times New Roman" w:cs="Times New Roman"/>
          <w:sz w:val="24"/>
          <w:szCs w:val="24"/>
          <w:lang w:eastAsia="zh-CN"/>
        </w:rPr>
        <w:t>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5D2117">
        <w:rPr>
          <w:rFonts w:ascii="Times New Roman" w:hAnsi="Times New Roman" w:cs="Times New Roman"/>
          <w:sz w:val="24"/>
          <w:szCs w:val="24"/>
        </w:rPr>
        <w:t xml:space="preserve">Приложение N 3 к Порядку учета бюджетных и денежных обязательств 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Управлением Федерального казначейства по Новгородской области, утвержденному постановлением Администрации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от 18.11.2021 № 88.) </w:t>
      </w:r>
      <w:r w:rsidRPr="005D21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D2117">
        <w:rPr>
          <w:rFonts w:ascii="Times New Roman" w:hAnsi="Times New Roman" w:cs="Times New Roman"/>
          <w:sz w:val="24"/>
          <w:szCs w:val="24"/>
          <w:lang w:eastAsia="zh-CN"/>
        </w:rPr>
        <w:t xml:space="preserve">(далее соответственно — Перечень документов, </w:t>
      </w:r>
      <w:r w:rsidRPr="005D2117">
        <w:rPr>
          <w:rFonts w:ascii="Times New Roman" w:hAnsi="Times New Roman" w:cs="Times New Roman"/>
          <w:color w:val="000000"/>
          <w:sz w:val="24"/>
          <w:szCs w:val="24"/>
        </w:rPr>
        <w:t>Порядок учета бюджетных и денежных обязательств</w:t>
      </w:r>
      <w:r w:rsidRPr="005D2117">
        <w:rPr>
          <w:rFonts w:ascii="Times New Roman" w:hAnsi="Times New Roman" w:cs="Times New Roman"/>
          <w:sz w:val="24"/>
          <w:szCs w:val="24"/>
          <w:lang w:eastAsia="zh-CN"/>
        </w:rPr>
        <w:t>), предоставляемого Получателем при постановке на учет бюджетного обязательства;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</w:t>
      </w:r>
      <w:r w:rsidRPr="005D2117">
        <w:rPr>
          <w:lang w:eastAsia="zh-CN"/>
        </w:rPr>
        <w:lastRenderedPageBreak/>
        <w:t>(</w:t>
      </w:r>
      <w:r w:rsidRPr="005D2117">
        <w:t xml:space="preserve">Приложение N 3 к Порядку учета бюджетных и денежных обязательств получателей средств бюджета </w:t>
      </w:r>
      <w:r w:rsidR="00075CDC">
        <w:t>Медниковского</w:t>
      </w:r>
      <w:r w:rsidRPr="005D2117">
        <w:t xml:space="preserve"> сельского поселения Управлением Федерального казначейства по Новгородской области, утвержденному постановлением Администрации </w:t>
      </w:r>
      <w:r w:rsidR="00075CDC">
        <w:t>Медниковского</w:t>
      </w:r>
      <w:r w:rsidRPr="005D2117">
        <w:t xml:space="preserve"> сельского поселения от  18.11.2021 №</w:t>
      </w:r>
      <w:r w:rsidRPr="005D2117">
        <w:rPr>
          <w:color w:val="FF0000"/>
        </w:rPr>
        <w:t xml:space="preserve"> </w:t>
      </w:r>
      <w:r w:rsidRPr="005D2117">
        <w:t xml:space="preserve">88.) </w:t>
      </w:r>
      <w:r w:rsidRPr="005D2117">
        <w:rPr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(контракту);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15) </w:t>
      </w:r>
      <w:r w:rsidRPr="005D2117"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731715" w:rsidRPr="005D2117" w:rsidRDefault="00731715" w:rsidP="006E450C">
      <w:pPr>
        <w:widowControl w:val="0"/>
        <w:autoSpaceDE w:val="0"/>
        <w:autoSpaceDN w:val="0"/>
        <w:adjustRightInd w:val="0"/>
        <w:ind w:firstLine="567"/>
        <w:jc w:val="both"/>
      </w:pPr>
      <w:r w:rsidRPr="005D2117">
        <w:t>с предоставлением межбюджетных трансфертов;</w:t>
      </w:r>
    </w:p>
    <w:p w:rsidR="00731715" w:rsidRPr="005D2117" w:rsidRDefault="00731715" w:rsidP="006E450C">
      <w:pPr>
        <w:widowControl w:val="0"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обслуживанием муниципального долга (в части бюджетных кредитов);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с исполнением судебных актов по искам к казне </w:t>
      </w:r>
      <w:r w:rsidR="00075CDC">
        <w:rPr>
          <w:bCs/>
          <w:lang w:eastAsia="zh-CN"/>
        </w:rPr>
        <w:t>Медниковского</w:t>
      </w:r>
      <w:r w:rsidRPr="005D2117">
        <w:rPr>
          <w:bCs/>
          <w:lang w:eastAsia="zh-CN"/>
        </w:rPr>
        <w:t xml:space="preserve"> сельского поселения</w:t>
      </w:r>
      <w:r w:rsidRPr="005D2117">
        <w:rPr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Pr="005D2117">
        <w:rPr>
          <w:b/>
          <w:lang w:eastAsia="zh-CN"/>
        </w:rPr>
        <w:t>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услуг»;</w:t>
      </w:r>
    </w:p>
    <w:p w:rsidR="00731715" w:rsidRPr="005D2117" w:rsidRDefault="00731715" w:rsidP="00DC34A8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Управлением;</w:t>
      </w:r>
    </w:p>
    <w:p w:rsidR="00731715" w:rsidRPr="005D2117" w:rsidRDefault="00731715" w:rsidP="00DC34A8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формирования Сведений о бюджетном обязательстве в соответствии с Порядком учета бюджетных и денежных обязательств Управлением.</w:t>
      </w:r>
    </w:p>
    <w:p w:rsidR="00731715" w:rsidRPr="005D2117" w:rsidRDefault="00731715" w:rsidP="006E450C">
      <w:pPr>
        <w:pStyle w:val="2"/>
        <w:ind w:firstLine="567"/>
        <w:rPr>
          <w:bCs w:val="0"/>
          <w:sz w:val="24"/>
          <w:szCs w:val="24"/>
        </w:rPr>
      </w:pPr>
      <w:r w:rsidRPr="005D2117">
        <w:rPr>
          <w:bCs w:val="0"/>
          <w:sz w:val="24"/>
          <w:szCs w:val="24"/>
        </w:rPr>
        <w:lastRenderedPageBreak/>
        <w:t>При оплате вышеперечисленных денежных обязательств, кроме денежных обязательств, связанных</w:t>
      </w:r>
      <w:r w:rsidRPr="005D2117">
        <w:rPr>
          <w:sz w:val="24"/>
          <w:szCs w:val="24"/>
        </w:rPr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5D2117">
        <w:rPr>
          <w:bCs w:val="0"/>
          <w:sz w:val="24"/>
          <w:szCs w:val="24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(или) соглашения (договоры), служащие основанием для их перечисления.</w:t>
      </w:r>
    </w:p>
    <w:p w:rsidR="00731715" w:rsidRPr="005D2117" w:rsidRDefault="00731715" w:rsidP="006E450C">
      <w:pPr>
        <w:suppressAutoHyphens/>
        <w:ind w:firstLine="567"/>
        <w:jc w:val="both"/>
        <w:rPr>
          <w:color w:val="000000"/>
        </w:rPr>
      </w:pPr>
      <w:r w:rsidRPr="005D2117">
        <w:rPr>
          <w:color w:val="000000"/>
          <w:lang w:eastAsia="zh-CN"/>
        </w:rPr>
        <w:t xml:space="preserve">17. </w:t>
      </w:r>
      <w:bookmarkStart w:id="3" w:name="Par1"/>
      <w:bookmarkEnd w:id="3"/>
      <w:r w:rsidRPr="005D2117">
        <w:t xml:space="preserve">В случае если </w:t>
      </w:r>
      <w:hyperlink r:id="rId10" w:history="1">
        <w:r w:rsidRPr="005D2117">
          <w:t>Распоряжение</w:t>
        </w:r>
      </w:hyperlink>
      <w:r w:rsidRPr="005D2117">
        <w:t xml:space="preserve"> представляется для оплаты денежного обязательства, по которому формирование </w:t>
      </w:r>
      <w:r w:rsidRPr="005D2117">
        <w:rPr>
          <w:color w:val="000000"/>
        </w:rPr>
        <w:t>Сведений о бюджетном обязательстве,</w:t>
      </w:r>
      <w:r w:rsidRPr="005D2117">
        <w:t xml:space="preserve"> Сведений о денежном обязательстве в соответствии с </w:t>
      </w:r>
      <w:hyperlink r:id="rId11" w:history="1">
        <w:r w:rsidRPr="005D2117">
          <w:t>Порядком</w:t>
        </w:r>
      </w:hyperlink>
      <w:r w:rsidRPr="005D2117"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2" w:history="1">
        <w:r w:rsidRPr="005D2117">
          <w:t>Распоряжением</w:t>
        </w:r>
      </w:hyperlink>
      <w:r w:rsidRPr="005D2117">
        <w:t xml:space="preserve"> указанные в нем документы, подтверждающие возникновение бюджетного и денежного обязательства, за исключением документов, указанных в пункте </w:t>
      </w:r>
      <w:r w:rsidRPr="005D2117">
        <w:rPr>
          <w:rStyle w:val="ad"/>
          <w:color w:val="auto"/>
          <w:u w:val="none"/>
        </w:rPr>
        <w:t>5,</w:t>
      </w:r>
      <w:r w:rsidRPr="005D2117">
        <w:rPr>
          <w:rStyle w:val="ad"/>
          <w:u w:val="none"/>
        </w:rPr>
        <w:t xml:space="preserve"> </w:t>
      </w:r>
      <w:r w:rsidRPr="005D2117">
        <w:t xml:space="preserve">6, 7, 8, 9, 10, строке 3 пункта </w:t>
      </w:r>
      <w:r w:rsidRPr="005D2117">
        <w:rPr>
          <w:lang w:eastAsia="zh-CN"/>
        </w:rPr>
        <w:t>11</w:t>
      </w:r>
      <w:r w:rsidRPr="005D2117">
        <w:t xml:space="preserve">,  строке 2 пункта </w:t>
      </w:r>
      <w:r w:rsidRPr="005D2117">
        <w:rPr>
          <w:lang w:eastAsia="zh-CN"/>
        </w:rPr>
        <w:t xml:space="preserve">12, </w:t>
      </w:r>
      <w:r w:rsidRPr="005D2117">
        <w:t>строках 1, 5 – 12 пункта 13 графы 3 Перечня документов.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color w:val="000000"/>
        </w:rPr>
        <w:t xml:space="preserve">18. В случае если </w:t>
      </w:r>
      <w:hyperlink r:id="rId13" w:history="1">
        <w:r w:rsidRPr="005D2117">
          <w:rPr>
            <w:color w:val="000000"/>
          </w:rPr>
          <w:t>Распоряжение</w:t>
        </w:r>
      </w:hyperlink>
      <w:r w:rsidRPr="005D2117">
        <w:rPr>
          <w:color w:val="000000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4" w:history="1">
        <w:r w:rsidRPr="005D2117">
          <w:rPr>
            <w:color w:val="000000"/>
          </w:rPr>
          <w:t>Порядком</w:t>
        </w:r>
      </w:hyperlink>
      <w:r w:rsidRPr="005D2117">
        <w:rPr>
          <w:color w:val="000000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color w:val="000000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Получателя. 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19.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731715" w:rsidRPr="005D2117" w:rsidRDefault="00731715" w:rsidP="00E01DE0">
      <w:pPr>
        <w:autoSpaceDE w:val="0"/>
        <w:autoSpaceDN w:val="0"/>
        <w:adjustRightInd w:val="0"/>
        <w:ind w:firstLine="540"/>
        <w:jc w:val="both"/>
      </w:pPr>
      <w:r w:rsidRPr="005D2117">
        <w:t>Прилагаемые к Распоряжению документы на бумажном носителе, служащие основанием платежа, возвращаются Получателю.</w:t>
      </w:r>
    </w:p>
    <w:p w:rsidR="00731715" w:rsidRPr="005D2117" w:rsidRDefault="00731715" w:rsidP="00E01DE0">
      <w:pPr>
        <w:autoSpaceDE w:val="0"/>
        <w:autoSpaceDN w:val="0"/>
        <w:adjustRightInd w:val="0"/>
        <w:ind w:firstLine="540"/>
        <w:jc w:val="both"/>
        <w:rPr>
          <w:b/>
        </w:rPr>
      </w:pPr>
      <w:r w:rsidRPr="005D2117">
        <w:rPr>
          <w:bCs/>
        </w:rPr>
        <w:t xml:space="preserve">В случае необходимости уполномоченный орган имеет право требовать от Получателя иные документы для подтверждения денежных обязательств. </w:t>
      </w:r>
    </w:p>
    <w:p w:rsidR="00731715" w:rsidRPr="005D2117" w:rsidRDefault="00731715" w:rsidP="00E01DE0">
      <w:pPr>
        <w:autoSpaceDE w:val="0"/>
        <w:autoSpaceDN w:val="0"/>
        <w:adjustRightInd w:val="0"/>
        <w:ind w:firstLine="540"/>
        <w:jc w:val="both"/>
      </w:pPr>
      <w:r w:rsidRPr="005D2117">
        <w:t>Ответственность за правильность оформления и достоверность представленных документов, а также соблюдение норм расходов, несут Получатели.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color w:val="000000"/>
          <w:lang w:eastAsia="zh-CN"/>
        </w:rPr>
        <w:t>При оплате муниципальных контрактов, содержащих сведения, составляющие государственную тайну, предоставляется выписка из муниципального контракта, включающая данные о его номере, дате заключения, предмете, порядке расчетов и платежных реквизитах сторон.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1) соответствие указанных в Распоряжении кодов классификации расходов </w:t>
      </w:r>
      <w:r w:rsidRPr="005D2117">
        <w:rPr>
          <w:bCs/>
          <w:lang w:eastAsia="zh-CN"/>
        </w:rPr>
        <w:t xml:space="preserve">бюджета </w:t>
      </w:r>
      <w:r w:rsidR="00075CDC">
        <w:t>Медниковского</w:t>
      </w:r>
      <w:r w:rsidRPr="005D2117">
        <w:rPr>
          <w:bCs/>
          <w:lang w:eastAsia="zh-CN"/>
        </w:rPr>
        <w:t xml:space="preserve"> сельского поселения</w:t>
      </w:r>
      <w:r w:rsidRPr="005D2117">
        <w:rPr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5D2117">
        <w:rPr>
          <w:bCs/>
          <w:lang w:eastAsia="zh-CN"/>
        </w:rPr>
        <w:t xml:space="preserve">бюджета </w:t>
      </w:r>
      <w:r w:rsidR="00075CDC">
        <w:t>Медниковского</w:t>
      </w:r>
      <w:r w:rsidRPr="005D2117">
        <w:rPr>
          <w:bCs/>
          <w:lang w:eastAsia="zh-CN"/>
        </w:rPr>
        <w:t xml:space="preserve"> сельского поселения </w:t>
      </w:r>
      <w:r w:rsidRPr="005D2117">
        <w:rPr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5D2117">
        <w:t xml:space="preserve">в соответствии с порядком применения кодов бюджетной </w:t>
      </w:r>
      <w:r w:rsidRPr="005D2117">
        <w:lastRenderedPageBreak/>
        <w:t>классификации Российской Федерации, определенным Министерством финансов Российской Федерации</w:t>
      </w:r>
      <w:r w:rsidRPr="005D2117">
        <w:rPr>
          <w:lang w:eastAsia="zh-CN"/>
        </w:rPr>
        <w:t>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color w:val="000000"/>
          <w:lang w:eastAsia="zh-CN"/>
        </w:rPr>
        <w:t xml:space="preserve">4) не превышение сумм в Распоряжении остатков </w:t>
      </w:r>
      <w:r w:rsidRPr="005D2117">
        <w:t>неисполненных бюджетных обязательств</w:t>
      </w:r>
      <w:r w:rsidRPr="005D2117">
        <w:rPr>
          <w:color w:val="000000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7) идентичность кода (кодов) классификации расходов </w:t>
      </w:r>
      <w:r w:rsidRPr="005D2117">
        <w:rPr>
          <w:bCs/>
          <w:lang w:eastAsia="zh-CN"/>
        </w:rPr>
        <w:t xml:space="preserve">бюджета </w:t>
      </w:r>
      <w:r w:rsidR="00075CDC">
        <w:rPr>
          <w:bCs/>
          <w:lang w:eastAsia="zh-CN"/>
        </w:rPr>
        <w:t>Медниковского</w:t>
      </w:r>
      <w:r w:rsidRPr="005D2117">
        <w:rPr>
          <w:bCs/>
          <w:lang w:eastAsia="zh-CN"/>
        </w:rPr>
        <w:t xml:space="preserve"> сельского поселения </w:t>
      </w:r>
      <w:r w:rsidRPr="005D2117">
        <w:rPr>
          <w:lang w:eastAsia="zh-CN"/>
        </w:rPr>
        <w:t xml:space="preserve">по денежному обязательству и платежу;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9) непревышение суммы Распоряжения над суммой оплачиваемого денежного обязательства. </w:t>
      </w:r>
    </w:p>
    <w:p w:rsidR="00731715" w:rsidRPr="005D2117" w:rsidRDefault="00731715" w:rsidP="00970480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5D2117">
        <w:rPr>
          <w:lang w:eastAsia="zh-CN"/>
        </w:rPr>
        <w:t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Учреждением Распоряжения отказывает в приеме к исполнению такого Распоряжения.</w:t>
      </w:r>
    </w:p>
    <w:p w:rsidR="00731715" w:rsidRPr="005D2117" w:rsidRDefault="00731715" w:rsidP="00970480">
      <w:pPr>
        <w:autoSpaceDE w:val="0"/>
        <w:autoSpaceDN w:val="0"/>
        <w:adjustRightInd w:val="0"/>
        <w:ind w:firstLine="540"/>
        <w:jc w:val="both"/>
      </w:pPr>
      <w:r w:rsidRPr="005D2117">
        <w:rPr>
          <w:lang w:eastAsia="zh-CN"/>
        </w:rPr>
        <w:t xml:space="preserve">Уведомление в электронном виде, </w:t>
      </w:r>
      <w:r w:rsidRPr="005D2117">
        <w:t xml:space="preserve">содержащее информацию, позволяющую идентифицировать Распоряжение, не принятое к исполнению, а также содержащее дату и причину отказа, направляется Учреждению </w:t>
      </w:r>
      <w:r w:rsidRPr="005D2117">
        <w:rPr>
          <w:lang w:eastAsia="zh-CN"/>
        </w:rPr>
        <w:t>не позднее дня отказа в приеме к исполнению такого Распоряжения</w:t>
      </w:r>
      <w:r w:rsidRPr="005D2117">
        <w:t>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Если санкционирование расходов Получателя осуществляется уполномоченным органом, указанным в подпункте 11.1 пункта 11 настоящего Порядка, то отметка, </w:t>
      </w:r>
      <w:r w:rsidRPr="005D2117">
        <w:t>подтверждающая санкционирование оплаты денежных обязательств («К оплате»), проставляется в</w:t>
      </w:r>
      <w:r w:rsidRPr="005D2117">
        <w:rPr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23.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731715" w:rsidRPr="005D2117" w:rsidRDefault="00731715"/>
    <w:sectPr w:rsidR="00731715" w:rsidRPr="005D2117" w:rsidSect="00075CDC">
      <w:pgSz w:w="11905" w:h="16838"/>
      <w:pgMar w:top="851" w:right="567" w:bottom="993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54" w:rsidRDefault="004D1754" w:rsidP="00832C29">
      <w:r>
        <w:separator/>
      </w:r>
    </w:p>
  </w:endnote>
  <w:endnote w:type="continuationSeparator" w:id="1">
    <w:p w:rsidR="004D1754" w:rsidRDefault="004D1754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54" w:rsidRDefault="004D1754" w:rsidP="00832C29">
      <w:r>
        <w:separator/>
      </w:r>
    </w:p>
  </w:footnote>
  <w:footnote w:type="continuationSeparator" w:id="1">
    <w:p w:rsidR="004D1754" w:rsidRDefault="004D1754" w:rsidP="00832C29">
      <w:r>
        <w:continuationSeparator/>
      </w:r>
    </w:p>
  </w:footnote>
  <w:footnote w:id="2"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1" w:name="P16"/>
      <w:bookmarkEnd w:id="1"/>
      <w:r>
        <w:rPr>
          <w:rFonts w:ascii="Times New Roman" w:hAnsi="Times New Roman" w:cs="Times New Roman"/>
          <w:sz w:val="20"/>
        </w:rPr>
        <w:t xml:space="preserve"> </w:t>
      </w:r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731715" w:rsidRDefault="00731715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429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EE5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60A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22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E1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AE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CA2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D64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F47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D2A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240C96"/>
    <w:multiLevelType w:val="multilevel"/>
    <w:tmpl w:val="1338A6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777129"/>
    <w:multiLevelType w:val="multilevel"/>
    <w:tmpl w:val="0CD8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13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0C"/>
    <w:rsid w:val="00004DB9"/>
    <w:rsid w:val="00023418"/>
    <w:rsid w:val="00034C09"/>
    <w:rsid w:val="000534AE"/>
    <w:rsid w:val="00063EF7"/>
    <w:rsid w:val="00072C47"/>
    <w:rsid w:val="00075CDC"/>
    <w:rsid w:val="00097ECE"/>
    <w:rsid w:val="000A3283"/>
    <w:rsid w:val="000C34EE"/>
    <w:rsid w:val="000D4639"/>
    <w:rsid w:val="000D4BB4"/>
    <w:rsid w:val="000E35D1"/>
    <w:rsid w:val="000E4439"/>
    <w:rsid w:val="000E6019"/>
    <w:rsid w:val="00103566"/>
    <w:rsid w:val="00117002"/>
    <w:rsid w:val="00152ACA"/>
    <w:rsid w:val="001739C4"/>
    <w:rsid w:val="00175636"/>
    <w:rsid w:val="0019416E"/>
    <w:rsid w:val="001A6C61"/>
    <w:rsid w:val="001D38D3"/>
    <w:rsid w:val="0020383E"/>
    <w:rsid w:val="00214456"/>
    <w:rsid w:val="002566E6"/>
    <w:rsid w:val="00266E0C"/>
    <w:rsid w:val="002C18E2"/>
    <w:rsid w:val="002E4DA0"/>
    <w:rsid w:val="003149BC"/>
    <w:rsid w:val="00336C23"/>
    <w:rsid w:val="003425D2"/>
    <w:rsid w:val="00374632"/>
    <w:rsid w:val="00386A5C"/>
    <w:rsid w:val="00387075"/>
    <w:rsid w:val="0039737F"/>
    <w:rsid w:val="0039768D"/>
    <w:rsid w:val="003A23C4"/>
    <w:rsid w:val="003A4C02"/>
    <w:rsid w:val="003E1882"/>
    <w:rsid w:val="003F20E9"/>
    <w:rsid w:val="004139A4"/>
    <w:rsid w:val="00453919"/>
    <w:rsid w:val="004610F8"/>
    <w:rsid w:val="00480B7F"/>
    <w:rsid w:val="0048506B"/>
    <w:rsid w:val="004B5D0A"/>
    <w:rsid w:val="004C3F11"/>
    <w:rsid w:val="004D1754"/>
    <w:rsid w:val="004D1B7F"/>
    <w:rsid w:val="004E41B9"/>
    <w:rsid w:val="004E52B9"/>
    <w:rsid w:val="004E75A8"/>
    <w:rsid w:val="005170C2"/>
    <w:rsid w:val="00531791"/>
    <w:rsid w:val="005379A4"/>
    <w:rsid w:val="0054222E"/>
    <w:rsid w:val="0055668F"/>
    <w:rsid w:val="00575990"/>
    <w:rsid w:val="0057783E"/>
    <w:rsid w:val="00580D79"/>
    <w:rsid w:val="0059192E"/>
    <w:rsid w:val="005B08B8"/>
    <w:rsid w:val="005B2F03"/>
    <w:rsid w:val="005D0C7F"/>
    <w:rsid w:val="005D2117"/>
    <w:rsid w:val="005F4A5D"/>
    <w:rsid w:val="0060331E"/>
    <w:rsid w:val="006118A8"/>
    <w:rsid w:val="00630BD5"/>
    <w:rsid w:val="00631A5B"/>
    <w:rsid w:val="0064116A"/>
    <w:rsid w:val="00651B68"/>
    <w:rsid w:val="00656F48"/>
    <w:rsid w:val="00657893"/>
    <w:rsid w:val="0066183E"/>
    <w:rsid w:val="006623C0"/>
    <w:rsid w:val="00666B34"/>
    <w:rsid w:val="006957EC"/>
    <w:rsid w:val="006B002F"/>
    <w:rsid w:val="006B1E0E"/>
    <w:rsid w:val="006E450C"/>
    <w:rsid w:val="006F5688"/>
    <w:rsid w:val="007151CD"/>
    <w:rsid w:val="0071703F"/>
    <w:rsid w:val="00731715"/>
    <w:rsid w:val="00740223"/>
    <w:rsid w:val="0075178A"/>
    <w:rsid w:val="007567A8"/>
    <w:rsid w:val="00757302"/>
    <w:rsid w:val="00763F3C"/>
    <w:rsid w:val="00771ED8"/>
    <w:rsid w:val="00775BE2"/>
    <w:rsid w:val="00781013"/>
    <w:rsid w:val="007956D2"/>
    <w:rsid w:val="007A050B"/>
    <w:rsid w:val="007A6322"/>
    <w:rsid w:val="007B2A4F"/>
    <w:rsid w:val="007C2474"/>
    <w:rsid w:val="007E0DCA"/>
    <w:rsid w:val="007F200C"/>
    <w:rsid w:val="008038AB"/>
    <w:rsid w:val="0080429C"/>
    <w:rsid w:val="00811B5A"/>
    <w:rsid w:val="00831708"/>
    <w:rsid w:val="00832C29"/>
    <w:rsid w:val="00843812"/>
    <w:rsid w:val="008466E6"/>
    <w:rsid w:val="00857519"/>
    <w:rsid w:val="00866651"/>
    <w:rsid w:val="008A4071"/>
    <w:rsid w:val="008C1633"/>
    <w:rsid w:val="008D2CDC"/>
    <w:rsid w:val="008E0A98"/>
    <w:rsid w:val="008F1ACB"/>
    <w:rsid w:val="00911FB0"/>
    <w:rsid w:val="0092334C"/>
    <w:rsid w:val="009316DB"/>
    <w:rsid w:val="00932ADC"/>
    <w:rsid w:val="00943FC9"/>
    <w:rsid w:val="0095228B"/>
    <w:rsid w:val="00956BF8"/>
    <w:rsid w:val="00970480"/>
    <w:rsid w:val="009717FA"/>
    <w:rsid w:val="00991851"/>
    <w:rsid w:val="00991EE7"/>
    <w:rsid w:val="00996B90"/>
    <w:rsid w:val="009A3CF0"/>
    <w:rsid w:val="009C4A87"/>
    <w:rsid w:val="009F7156"/>
    <w:rsid w:val="00A02180"/>
    <w:rsid w:val="00A04C2F"/>
    <w:rsid w:val="00A07BFC"/>
    <w:rsid w:val="00A23923"/>
    <w:rsid w:val="00A4582F"/>
    <w:rsid w:val="00A5048A"/>
    <w:rsid w:val="00A51959"/>
    <w:rsid w:val="00A5552A"/>
    <w:rsid w:val="00A67BBF"/>
    <w:rsid w:val="00A84D40"/>
    <w:rsid w:val="00A95AE7"/>
    <w:rsid w:val="00AB6523"/>
    <w:rsid w:val="00AE0100"/>
    <w:rsid w:val="00AF5649"/>
    <w:rsid w:val="00B147E6"/>
    <w:rsid w:val="00B30FA1"/>
    <w:rsid w:val="00B37AB0"/>
    <w:rsid w:val="00B50E91"/>
    <w:rsid w:val="00B71A62"/>
    <w:rsid w:val="00BB080B"/>
    <w:rsid w:val="00BC0DA8"/>
    <w:rsid w:val="00BE4BC2"/>
    <w:rsid w:val="00BF2342"/>
    <w:rsid w:val="00BF250F"/>
    <w:rsid w:val="00C43F0C"/>
    <w:rsid w:val="00C57391"/>
    <w:rsid w:val="00C66D42"/>
    <w:rsid w:val="00C9014C"/>
    <w:rsid w:val="00C91771"/>
    <w:rsid w:val="00C94F93"/>
    <w:rsid w:val="00CB1225"/>
    <w:rsid w:val="00CC65A6"/>
    <w:rsid w:val="00CE49F1"/>
    <w:rsid w:val="00CE7C9F"/>
    <w:rsid w:val="00CF4BBB"/>
    <w:rsid w:val="00CF5AFE"/>
    <w:rsid w:val="00D14FC8"/>
    <w:rsid w:val="00D217E6"/>
    <w:rsid w:val="00D21A98"/>
    <w:rsid w:val="00D35227"/>
    <w:rsid w:val="00D3724A"/>
    <w:rsid w:val="00D43B56"/>
    <w:rsid w:val="00D57F1A"/>
    <w:rsid w:val="00D64710"/>
    <w:rsid w:val="00D74203"/>
    <w:rsid w:val="00DC34A8"/>
    <w:rsid w:val="00DF3884"/>
    <w:rsid w:val="00E01DE0"/>
    <w:rsid w:val="00E16341"/>
    <w:rsid w:val="00E23C9C"/>
    <w:rsid w:val="00E324BE"/>
    <w:rsid w:val="00E36FFA"/>
    <w:rsid w:val="00E4515B"/>
    <w:rsid w:val="00E47968"/>
    <w:rsid w:val="00E53F49"/>
    <w:rsid w:val="00E7281C"/>
    <w:rsid w:val="00E75622"/>
    <w:rsid w:val="00E807F8"/>
    <w:rsid w:val="00EA347D"/>
    <w:rsid w:val="00EB446C"/>
    <w:rsid w:val="00EF40D7"/>
    <w:rsid w:val="00EF678D"/>
    <w:rsid w:val="00F00003"/>
    <w:rsid w:val="00F02A33"/>
    <w:rsid w:val="00F2420E"/>
    <w:rsid w:val="00F46393"/>
    <w:rsid w:val="00F540C7"/>
    <w:rsid w:val="00F57086"/>
    <w:rsid w:val="00F96300"/>
    <w:rsid w:val="00F96908"/>
    <w:rsid w:val="00FB78CB"/>
    <w:rsid w:val="00FC40B1"/>
    <w:rsid w:val="00FC46AD"/>
    <w:rsid w:val="00FD73E0"/>
    <w:rsid w:val="00FD7A8B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b/>
      <w:bCs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locked/>
    <w:rsid w:val="0099185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7567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rsid w:val="007567A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8837;fld=134" TargetMode="External"/><Relationship Id="rId14" Type="http://schemas.openxmlformats.org/officeDocument/2006/relationships/hyperlink" Target="consultantplus://offline/ref=150FB95207D3E621A716AF52D67B8D84CA2BD6E65BABC4BA37402CA25CC880E327A231065C62ADF031F83A40B50E27EEE57B8030C66F966BsA6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DC54-76B4-42B3-A3CA-8B82DEFF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3453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Филипьева Людмила Николаевна</dc:creator>
  <cp:keywords/>
  <dc:description/>
  <cp:lastModifiedBy>Пользователь</cp:lastModifiedBy>
  <cp:revision>9</cp:revision>
  <cp:lastPrinted>2022-01-31T12:02:00Z</cp:lastPrinted>
  <dcterms:created xsi:type="dcterms:W3CDTF">2022-02-17T09:25:00Z</dcterms:created>
  <dcterms:modified xsi:type="dcterms:W3CDTF">2022-02-28T13:01:00Z</dcterms:modified>
</cp:coreProperties>
</file>