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D1" w:rsidRDefault="002F1BD1" w:rsidP="00612363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F1BD1" w:rsidRDefault="002F1BD1" w:rsidP="00612363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2F1BD1" w:rsidRPr="00612363" w:rsidRDefault="002F1BD1" w:rsidP="00612363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12363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3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36C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3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Медниковского</w:t>
      </w:r>
      <w:r w:rsidRPr="001073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36C">
        <w:rPr>
          <w:rFonts w:ascii="Times New Roman" w:hAnsi="Times New Roman"/>
          <w:b/>
          <w:sz w:val="32"/>
          <w:szCs w:val="32"/>
        </w:rPr>
        <w:t>РЕШЕНИЕ</w:t>
      </w: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2F1BD1" w:rsidRPr="0010736C" w:rsidRDefault="002F1BD1" w:rsidP="00107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36C">
        <w:rPr>
          <w:rFonts w:ascii="Times New Roman" w:hAnsi="Times New Roman"/>
          <w:b/>
          <w:sz w:val="28"/>
          <w:szCs w:val="28"/>
        </w:rPr>
        <w:t xml:space="preserve">от  № </w:t>
      </w:r>
    </w:p>
    <w:p w:rsidR="002F1BD1" w:rsidRPr="0010736C" w:rsidRDefault="002F1BD1" w:rsidP="0010736C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pacing w:val="-3"/>
          <w:sz w:val="28"/>
          <w:szCs w:val="28"/>
        </w:rPr>
      </w:pPr>
      <w:r w:rsidRPr="0010736C">
        <w:rPr>
          <w:rFonts w:ascii="Times New Roman" w:hAnsi="Times New Roman"/>
          <w:spacing w:val="-3"/>
          <w:sz w:val="28"/>
          <w:szCs w:val="28"/>
        </w:rPr>
        <w:t>д. Медниково</w:t>
      </w:r>
    </w:p>
    <w:p w:rsidR="002F1BD1" w:rsidRPr="0010736C" w:rsidRDefault="002F1BD1" w:rsidP="0010736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2F1BD1" w:rsidRPr="00FD2EDD" w:rsidRDefault="002F1BD1" w:rsidP="006123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9468"/>
      </w:tblGrid>
      <w:tr w:rsidR="002F1BD1" w:rsidRPr="00021AC8" w:rsidTr="0010736C">
        <w:trPr>
          <w:trHeight w:val="414"/>
        </w:trPr>
        <w:tc>
          <w:tcPr>
            <w:tcW w:w="9468" w:type="dxa"/>
          </w:tcPr>
          <w:p w:rsidR="002F1BD1" w:rsidRPr="00612363" w:rsidRDefault="002F1BD1" w:rsidP="00FA6F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123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 налоге на имущество физических лиц</w:t>
            </w:r>
          </w:p>
        </w:tc>
      </w:tr>
    </w:tbl>
    <w:p w:rsidR="002F1BD1" w:rsidRDefault="002F1BD1" w:rsidP="00612363">
      <w:pPr>
        <w:spacing w:after="1" w:line="220" w:lineRule="atLeast"/>
        <w:jc w:val="both"/>
        <w:rPr>
          <w:rFonts w:cs="Calibri"/>
        </w:rPr>
      </w:pPr>
    </w:p>
    <w:p w:rsidR="002F1BD1" w:rsidRPr="00612363" w:rsidRDefault="002F1BD1" w:rsidP="0010736C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12363">
          <w:rPr>
            <w:rFonts w:ascii="Times New Roman" w:hAnsi="Times New Roman"/>
            <w:sz w:val="28"/>
            <w:szCs w:val="28"/>
          </w:rPr>
          <w:t>2003 г</w:t>
        </w:r>
      </w:smartTag>
      <w:r w:rsidRPr="00612363">
        <w:rPr>
          <w:rFonts w:ascii="Times New Roman" w:hAnsi="Times New Roman"/>
          <w:sz w:val="28"/>
          <w:szCs w:val="28"/>
        </w:rPr>
        <w:t>. N 131-ФЗ "Об общих принципах организации местного самоуправления в Российской Федерации", о</w:t>
      </w:r>
      <w:r>
        <w:rPr>
          <w:rFonts w:ascii="Times New Roman" w:hAnsi="Times New Roman"/>
          <w:sz w:val="28"/>
          <w:szCs w:val="28"/>
        </w:rPr>
        <w:t>бластным законом от 23.10.2014 №</w:t>
      </w:r>
      <w:r w:rsidRPr="00612363">
        <w:rPr>
          <w:rFonts w:ascii="Times New Roman" w:hAnsi="Times New Roman"/>
          <w:sz w:val="28"/>
          <w:szCs w:val="28"/>
        </w:rPr>
        <w:t xml:space="preserve">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2363"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sz w:val="28"/>
          <w:szCs w:val="28"/>
        </w:rPr>
        <w:t xml:space="preserve"> Медниковского сельского поселения, </w:t>
      </w:r>
      <w:r w:rsidRPr="00612363">
        <w:rPr>
          <w:rFonts w:ascii="Times New Roman" w:hAnsi="Times New Roman"/>
          <w:sz w:val="28"/>
          <w:szCs w:val="28"/>
          <w:lang w:eastAsia="ar-SA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lang w:eastAsia="ar-SA"/>
        </w:rPr>
        <w:t>Медниковского</w:t>
      </w:r>
      <w:r w:rsidRPr="0061236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612363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612363">
        <w:rPr>
          <w:rFonts w:ascii="Times New Roman" w:hAnsi="Times New Roman"/>
          <w:b/>
          <w:sz w:val="28"/>
          <w:szCs w:val="28"/>
          <w:lang w:eastAsia="ar-SA"/>
        </w:rPr>
        <w:t xml:space="preserve">РЕШИЛ: </w:t>
      </w:r>
    </w:p>
    <w:p w:rsidR="002F1BD1" w:rsidRPr="00612363" w:rsidRDefault="002F1BD1" w:rsidP="0010736C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>1. Установить и ввести в действие с 1 января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612363">
        <w:rPr>
          <w:rFonts w:ascii="Times New Roman" w:hAnsi="Times New Roman"/>
          <w:sz w:val="28"/>
          <w:szCs w:val="28"/>
        </w:rPr>
        <w:t xml:space="preserve">года на территории </w:t>
      </w:r>
      <w:r>
        <w:rPr>
          <w:rFonts w:ascii="Times New Roman" w:hAnsi="Times New Roman"/>
          <w:sz w:val="28"/>
          <w:szCs w:val="28"/>
        </w:rPr>
        <w:t>Медниковского сельского</w:t>
      </w:r>
      <w:r w:rsidRPr="00612363">
        <w:rPr>
          <w:rFonts w:ascii="Times New Roman" w:hAnsi="Times New Roman"/>
          <w:i/>
          <w:sz w:val="28"/>
          <w:szCs w:val="28"/>
        </w:rPr>
        <w:t xml:space="preserve"> </w:t>
      </w:r>
      <w:r w:rsidRPr="003B417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Старорусского</w:t>
      </w:r>
      <w:r w:rsidRPr="00612363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налог на имущество физических лиц.</w:t>
      </w:r>
    </w:p>
    <w:p w:rsidR="002F1BD1" w:rsidRPr="00612363" w:rsidRDefault="002F1BD1" w:rsidP="0010736C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F1BD1" w:rsidRPr="00612363" w:rsidRDefault="002F1BD1" w:rsidP="00612363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2363">
        <w:rPr>
          <w:rFonts w:ascii="Times New Roman" w:hAnsi="Times New Roman"/>
          <w:sz w:val="28"/>
          <w:szCs w:val="28"/>
        </w:rPr>
        <w:t>3. Установить налоговые ставки в следующих размерах:</w:t>
      </w:r>
    </w:p>
    <w:p w:rsidR="002F1BD1" w:rsidRPr="00612363" w:rsidRDefault="002F1BD1" w:rsidP="00612363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597"/>
        <w:gridCol w:w="2041"/>
      </w:tblGrid>
      <w:tr w:rsidR="002F1BD1" w:rsidRPr="00021AC8" w:rsidTr="00D617CD">
        <w:tc>
          <w:tcPr>
            <w:tcW w:w="7597" w:type="dxa"/>
            <w:vAlign w:val="center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Ставка налога (процентов)</w:t>
            </w:r>
          </w:p>
        </w:tc>
      </w:tr>
      <w:tr w:rsidR="002F1BD1" w:rsidRPr="00021AC8" w:rsidTr="00D617CD">
        <w:trPr>
          <w:trHeight w:val="648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илые дома, части жилых домов, квартир, части квартир, комнаты, кадастровая стоимость которых составляет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2F1BD1" w:rsidRPr="00021AC8" w:rsidTr="00D617CD">
        <w:trPr>
          <w:trHeight w:val="665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единые недвижимые комплексы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, в состав которых входит хотя бы один жилой дом;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2F1BD1" w:rsidRPr="00021AC8" w:rsidTr="00D617CD">
        <w:trPr>
          <w:trHeight w:val="359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 xml:space="preserve">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</w:t>
            </w:r>
            <w:r w:rsidRPr="00021AC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2F1BD1" w:rsidRPr="00021AC8" w:rsidTr="00D617CD">
        <w:trPr>
          <w:trHeight w:val="1119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2F1BD1" w:rsidRPr="00021AC8" w:rsidTr="00D617CD"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аражи и машино-места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</w:t>
            </w:r>
            <w:r w:rsidRPr="00021AC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2F1BD1" w:rsidRPr="00021AC8" w:rsidTr="00D617CD">
        <w:trPr>
          <w:trHeight w:val="773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дминистративно-деловые центры и торговые центры (комплексы) и помещения в них;</w:t>
            </w:r>
          </w:p>
          <w:p w:rsidR="002F1BD1" w:rsidRPr="00021AC8" w:rsidRDefault="002F1BD1" w:rsidP="00FA6F6C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до 4 200 000 рублей включительно</w:t>
            </w:r>
          </w:p>
          <w:p w:rsidR="002F1BD1" w:rsidRPr="00021AC8" w:rsidRDefault="002F1BD1" w:rsidP="00FA6F6C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F1BD1" w:rsidRPr="00021AC8" w:rsidTr="00D617CD">
        <w:trPr>
          <w:trHeight w:val="2353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</w:p>
          <w:p w:rsidR="002F1BD1" w:rsidRPr="00021AC8" w:rsidRDefault="002F1BD1" w:rsidP="00FA6F6C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до 4 200 000 рублей включительно</w:t>
            </w:r>
          </w:p>
          <w:p w:rsidR="002F1BD1" w:rsidRPr="00021AC8" w:rsidRDefault="002F1BD1" w:rsidP="00FA6F6C">
            <w:pPr>
              <w:spacing w:after="1" w:line="220" w:lineRule="atLeast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свыше 4 200 000 рублей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F1BD1" w:rsidRPr="00021AC8" w:rsidTr="00D617CD">
        <w:trPr>
          <w:trHeight w:val="554"/>
        </w:trPr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бъекты налогообложения, кадастровая стоимость каждого из которых превышает 300 000 000 рублей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1BD1" w:rsidRPr="00021AC8" w:rsidTr="00D617CD">
        <w:tc>
          <w:tcPr>
            <w:tcW w:w="7597" w:type="dxa"/>
          </w:tcPr>
          <w:p w:rsidR="002F1BD1" w:rsidRPr="00021AC8" w:rsidRDefault="002F1BD1" w:rsidP="00FA6F6C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1AC8">
              <w:rPr>
                <w:rFonts w:ascii="Times New Roman" w:hAnsi="Times New Roman"/>
                <w:sz w:val="28"/>
                <w:szCs w:val="28"/>
              </w:rPr>
              <w:t>рочие объекты налогообложения</w:t>
            </w:r>
          </w:p>
        </w:tc>
        <w:tc>
          <w:tcPr>
            <w:tcW w:w="2041" w:type="dxa"/>
          </w:tcPr>
          <w:p w:rsidR="002F1BD1" w:rsidRPr="00021AC8" w:rsidRDefault="002F1BD1" w:rsidP="00D617C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C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F1BD1" w:rsidRDefault="002F1BD1" w:rsidP="006123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F1BD1" w:rsidRDefault="002F1BD1" w:rsidP="003B4170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3ED3">
        <w:rPr>
          <w:rFonts w:ascii="Times New Roman" w:hAnsi="Times New Roman"/>
          <w:sz w:val="28"/>
          <w:szCs w:val="28"/>
        </w:rPr>
        <w:t>. Установить, что налогоплательщики, имеющие право на налоговую льготу, установленную пунктом 4 настоящего решения, представляют документы, подтверждающие такое право, в налоговые органы</w:t>
      </w:r>
      <w:r>
        <w:rPr>
          <w:rFonts w:ascii="Times New Roman" w:hAnsi="Times New Roman"/>
          <w:sz w:val="28"/>
          <w:szCs w:val="28"/>
        </w:rPr>
        <w:t>.</w:t>
      </w:r>
    </w:p>
    <w:p w:rsidR="002F1BD1" w:rsidRDefault="002F1BD1" w:rsidP="00201228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</w:t>
      </w:r>
      <w:r w:rsidRPr="003B4170">
        <w:rPr>
          <w:rFonts w:ascii="Times New Roman" w:hAnsi="Times New Roman"/>
          <w:sz w:val="28"/>
          <w:szCs w:val="28"/>
        </w:rPr>
        <w:t xml:space="preserve">. </w:t>
      </w:r>
      <w:r w:rsidRPr="00612363">
        <w:rPr>
          <w:rFonts w:ascii="Times New Roman" w:hAnsi="Times New Roman"/>
          <w:sz w:val="28"/>
          <w:szCs w:val="28"/>
          <w:lang w:eastAsia="ar-SA"/>
        </w:rPr>
        <w:t xml:space="preserve"> Признать утратившими силу решения Совета депутатов </w:t>
      </w:r>
      <w:r>
        <w:rPr>
          <w:rFonts w:ascii="Times New Roman" w:hAnsi="Times New Roman"/>
          <w:sz w:val="28"/>
          <w:szCs w:val="28"/>
          <w:lang w:eastAsia="ar-SA"/>
        </w:rPr>
        <w:t>Медниковского</w:t>
      </w:r>
      <w:r w:rsidRPr="0061236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2F1BD1" w:rsidRPr="00177511" w:rsidRDefault="002F1BD1" w:rsidP="00201228">
      <w:pPr>
        <w:shd w:val="clear" w:color="auto" w:fill="FFFFFF"/>
        <w:spacing w:after="0" w:line="240" w:lineRule="auto"/>
        <w:ind w:firstLine="54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«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налоге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имущество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физических</w:t>
      </w:r>
      <w:r w:rsidRPr="00177511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177511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лиц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»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>;</w:t>
      </w:r>
    </w:p>
    <w:p w:rsidR="002F1BD1" w:rsidRPr="00FD2EDD" w:rsidRDefault="002F1BD1" w:rsidP="002012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.04.2019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внесении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изменений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решение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Совета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Медниковского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ельского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поселения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62558C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62558C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yandex-sans" w:hAnsi="yandex-sans"/>
          <w:color w:val="000000"/>
          <w:sz w:val="28"/>
          <w:szCs w:val="28"/>
          <w:lang w:eastAsia="ru-RU"/>
        </w:rPr>
        <w:t>»</w:t>
      </w:r>
    </w:p>
    <w:p w:rsidR="002F1BD1" w:rsidRDefault="002F1BD1" w:rsidP="00201228">
      <w:pPr>
        <w:shd w:val="clear" w:color="auto" w:fill="FFFFFF"/>
        <w:spacing w:after="0" w:line="240" w:lineRule="auto"/>
        <w:ind w:firstLine="54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 w:rsidRPr="003355FA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.11.2019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внесении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изменений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в</w:t>
      </w:r>
      <w:r w:rsidRPr="003355FA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решение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Совета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депутатов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Медниковского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сельского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поселения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от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27.11.2014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№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«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налоге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на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имущество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физических</w:t>
      </w:r>
      <w:r w:rsidRPr="00F75DEB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F75DE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лиц»</w:t>
      </w:r>
      <w:r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:rsidR="002F1BD1" w:rsidRPr="003355FA" w:rsidRDefault="002F1BD1" w:rsidP="0020122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Pr="009738F3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738F3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с момента его официального опубликования и распространяется на правоотношения с </w:t>
      </w:r>
      <w:r w:rsidRPr="009738F3">
        <w:rPr>
          <w:rFonts w:ascii="Times New Roman" w:hAnsi="Times New Roman"/>
          <w:sz w:val="28"/>
          <w:szCs w:val="28"/>
          <w:lang w:eastAsia="ru-RU"/>
        </w:rPr>
        <w:t>1 января 2020 года.</w:t>
      </w:r>
    </w:p>
    <w:p w:rsidR="002F1BD1" w:rsidRPr="003355FA" w:rsidRDefault="002F1BD1" w:rsidP="00201228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355FA">
        <w:rPr>
          <w:rFonts w:ascii="Times New Roman" w:hAnsi="Times New Roman"/>
          <w:sz w:val="28"/>
          <w:szCs w:val="28"/>
          <w:lang w:eastAsia="ru-RU"/>
        </w:rPr>
        <w:t>. Опубликовать настоящее решение в газете «</w:t>
      </w:r>
      <w:r>
        <w:rPr>
          <w:rFonts w:ascii="Times New Roman" w:hAnsi="Times New Roman"/>
          <w:sz w:val="28"/>
          <w:szCs w:val="28"/>
          <w:lang w:eastAsia="ru-RU"/>
        </w:rPr>
        <w:t>Медниковский</w:t>
      </w:r>
      <w:r w:rsidRPr="003355FA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Медниковского</w:t>
      </w:r>
      <w:r w:rsidRPr="003355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информационно-коммуникационной сети «Интернет».</w:t>
      </w:r>
    </w:p>
    <w:p w:rsidR="002F1BD1" w:rsidRPr="003355FA" w:rsidRDefault="002F1BD1" w:rsidP="00201228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355FA">
        <w:rPr>
          <w:rFonts w:ascii="Times New Roman" w:hAnsi="Times New Roman"/>
          <w:sz w:val="28"/>
          <w:szCs w:val="28"/>
          <w:lang w:eastAsia="ru-RU"/>
        </w:rPr>
        <w:t>.Контроль за исполнением решения оставляю за собой.</w:t>
      </w:r>
    </w:p>
    <w:p w:rsidR="002F1BD1" w:rsidRDefault="002F1BD1" w:rsidP="00612363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48"/>
          <w:szCs w:val="48"/>
          <w:lang w:eastAsia="ar-SA"/>
        </w:rPr>
      </w:pPr>
    </w:p>
    <w:p w:rsidR="002F1BD1" w:rsidRPr="00FA6F6C" w:rsidRDefault="002F1BD1" w:rsidP="00612363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F1BD1" w:rsidRPr="00612363" w:rsidRDefault="002F1BD1" w:rsidP="00612363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0E7C58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r w:rsidRPr="00612363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   </w:t>
      </w:r>
      <w:r w:rsidRPr="000E7C58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Л.Н. Бобрукевич</w:t>
      </w:r>
      <w:r w:rsidRPr="00612363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2F1BD1" w:rsidRPr="000E7C58" w:rsidRDefault="002F1BD1">
      <w:pPr>
        <w:rPr>
          <w:b/>
        </w:rPr>
      </w:pPr>
      <w:bookmarkStart w:id="0" w:name="_GoBack"/>
      <w:bookmarkEnd w:id="0"/>
    </w:p>
    <w:sectPr w:rsidR="002F1BD1" w:rsidRPr="000E7C58" w:rsidSect="00774927">
      <w:pgSz w:w="11905" w:h="16838"/>
      <w:pgMar w:top="426" w:right="850" w:bottom="28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363"/>
    <w:rsid w:val="00021AC8"/>
    <w:rsid w:val="00024817"/>
    <w:rsid w:val="000E7C58"/>
    <w:rsid w:val="0010736C"/>
    <w:rsid w:val="0013086D"/>
    <w:rsid w:val="00177511"/>
    <w:rsid w:val="00201228"/>
    <w:rsid w:val="0022362D"/>
    <w:rsid w:val="002E72CA"/>
    <w:rsid w:val="002F1BD1"/>
    <w:rsid w:val="003355FA"/>
    <w:rsid w:val="00362D32"/>
    <w:rsid w:val="003B4170"/>
    <w:rsid w:val="005F342A"/>
    <w:rsid w:val="00612363"/>
    <w:rsid w:val="0062558C"/>
    <w:rsid w:val="00774927"/>
    <w:rsid w:val="00804E8D"/>
    <w:rsid w:val="008D7DC0"/>
    <w:rsid w:val="0091511A"/>
    <w:rsid w:val="009715FB"/>
    <w:rsid w:val="009738F3"/>
    <w:rsid w:val="009C7734"/>
    <w:rsid w:val="009D1F84"/>
    <w:rsid w:val="009D54D8"/>
    <w:rsid w:val="00A31964"/>
    <w:rsid w:val="00C1282C"/>
    <w:rsid w:val="00D03ED3"/>
    <w:rsid w:val="00D617CD"/>
    <w:rsid w:val="00F75DEB"/>
    <w:rsid w:val="00FA6F6C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2</Pages>
  <Words>576</Words>
  <Characters>3289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Admin</cp:lastModifiedBy>
  <cp:revision>11</cp:revision>
  <dcterms:created xsi:type="dcterms:W3CDTF">2020-01-30T07:44:00Z</dcterms:created>
  <dcterms:modified xsi:type="dcterms:W3CDTF">2020-02-05T07:55:00Z</dcterms:modified>
</cp:coreProperties>
</file>