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szCs w:val="24"/>
        </w:rPr>
        <w:t xml:space="preserve">Рекомендации по соблюдению государственными (муниципальными) служащими норм </w:t>
      </w:r>
      <w:r>
        <w:rPr>
          <w:b/>
          <w:bCs/>
        </w:rPr>
        <w:t>этики в целях противодействия коррупции и иным правонарушениям</w:t>
      </w:r>
    </w:p>
    <w:p>
      <w:pPr>
        <w:pStyle w:val="Normal"/>
        <w:rPr>
          <w:bCs/>
          <w:szCs w:val="24"/>
        </w:rPr>
      </w:pPr>
      <w:r>
        <w:rPr>
          <w:bCs/>
          <w:szCs w:val="24"/>
        </w:rPr>
        <w:t xml:space="preserve"> </w:t>
      </w:r>
    </w:p>
    <w:p>
      <w:pPr>
        <w:pStyle w:val="Normal"/>
        <w:spacing w:lineRule="auto" w:line="254"/>
        <w:ind w:right="-75" w:firstLine="709"/>
        <w:jc w:val="both"/>
        <w:rPr>
          <w:bCs/>
        </w:rPr>
      </w:pPr>
      <w:r>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w:t>
      </w:r>
      <w:bookmarkStart w:id="0" w:name="_GoBack"/>
      <w:bookmarkEnd w:id="0"/>
      <w:r>
        <w:rPr/>
        <w:t xml:space="preserve">едерации от 12 августа 2002 г. № 885 и </w:t>
      </w:r>
      <w:r>
        <w:rPr>
          <w:bCs/>
        </w:rPr>
        <w:t xml:space="preserve">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w:t>
      </w:r>
    </w:p>
    <w:p>
      <w:pPr>
        <w:pStyle w:val="Normal"/>
        <w:spacing w:lineRule="auto" w:line="254"/>
        <w:ind w:right="-75" w:firstLine="709"/>
        <w:jc w:val="both"/>
        <w:rPr/>
      </w:pPr>
      <w:r>
        <w:rPr>
          <w:rFonts w:eastAsia="Times New Roman"/>
        </w:rPr>
        <w:t xml:space="preserve">Морально-этические требования к государственным служащим Новгородской области и стандарты его поведения, отвечающие принципам справедливости, честности, прозрачности, ответственности и отчетности закреплены в </w:t>
      </w:r>
      <w:r>
        <w:rPr/>
        <w:t>Кодексе этики и служебного поведения государственных гражданских служащих, замещающих должности в структурных подразделениях по обеспечению деятельности Правительства Новгородской области и Губернатора Новгородской области,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 который утвержден постановлением Правительства Новгородской области от 19.04.2017 № 122.</w:t>
      </w:r>
    </w:p>
    <w:p>
      <w:pPr>
        <w:pStyle w:val="Normal"/>
        <w:ind w:firstLine="709"/>
        <w:jc w:val="both"/>
        <w:rPr/>
      </w:pPr>
      <w:r>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pPr>
        <w:pStyle w:val="Footnotetext"/>
        <w:ind w:firstLine="709"/>
        <w:jc w:val="both"/>
        <w:rPr>
          <w:sz w:val="28"/>
          <w:szCs w:val="28"/>
        </w:rPr>
      </w:pPr>
      <w:r>
        <w:rPr>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w:t>
      </w:r>
    </w:p>
    <w:p>
      <w:pPr>
        <w:pStyle w:val="Footnotetext"/>
        <w:ind w:firstLine="709"/>
        <w:jc w:val="both"/>
        <w:rPr>
          <w:sz w:val="28"/>
          <w:szCs w:val="28"/>
        </w:rPr>
      </w:pPr>
      <w:r>
        <w:rPr>
          <w:sz w:val="28"/>
          <w:szCs w:val="28"/>
        </w:rPr>
        <w:t>Служащие, замещающие руководящие должности, своим личным примером формируют правила поведения подчиненных.</w:t>
      </w:r>
    </w:p>
    <w:p>
      <w:pPr>
        <w:pStyle w:val="Normal"/>
        <w:ind w:firstLine="709"/>
        <w:jc w:val="both"/>
        <w:rPr/>
      </w:pPr>
      <w:r>
        <w:rPr/>
        <w:t>Вне зависимости от занимаемой должности необходимо помнить, что служащий не должен совершать поступки, порочащие его честь и достоинство.</w:t>
      </w:r>
    </w:p>
    <w:p>
      <w:pPr>
        <w:pStyle w:val="Normal"/>
        <w:ind w:firstLine="709"/>
        <w:jc w:val="both"/>
        <w:rPr/>
      </w:pPr>
      <w:r>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pPr>
        <w:pStyle w:val="Normal"/>
        <w:ind w:firstLine="709"/>
        <w:jc w:val="both"/>
        <w:rPr/>
      </w:pPr>
      <w:r>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pPr>
        <w:pStyle w:val="Normal"/>
        <w:ind w:firstLine="709"/>
        <w:jc w:val="both"/>
        <w:rPr/>
      </w:pPr>
      <w:r>
        <w:rPr/>
        <w:t xml:space="preserve">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 </w:t>
      </w:r>
    </w:p>
    <w:p>
      <w:pPr>
        <w:pStyle w:val="Normal"/>
        <w:ind w:firstLine="709"/>
        <w:jc w:val="both"/>
        <w:rPr/>
      </w:pPr>
      <w:r>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pPr>
        <w:pStyle w:val="Normal"/>
        <w:ind w:firstLine="709"/>
        <w:jc w:val="both"/>
        <w:rPr/>
      </w:pPr>
      <w:r>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pPr>
        <w:pStyle w:val="Normal"/>
        <w:ind w:firstLine="709"/>
        <w:jc w:val="both"/>
        <w:rPr>
          <w:b/>
          <w:b/>
        </w:rPr>
      </w:pPr>
      <w:r>
        <w:rPr>
          <w:bCs/>
        </w:rPr>
        <w:t>В целях противодействия коррупции и иным правонарушениям</w:t>
      </w:r>
      <w:r>
        <w:rPr/>
        <w:t xml:space="preserve">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pPr>
        <w:pStyle w:val="Normal"/>
        <w:ind w:firstLine="709"/>
        <w:jc w:val="both"/>
        <w:rPr/>
      </w:pPr>
      <w:r>
        <w:rPr/>
        <w:t>- честность;</w:t>
      </w:r>
    </w:p>
    <w:p>
      <w:pPr>
        <w:pStyle w:val="Normal"/>
        <w:ind w:firstLine="709"/>
        <w:jc w:val="both"/>
        <w:rPr/>
      </w:pPr>
      <w:r>
        <w:rPr/>
        <w:t>- беспристрастность.</w:t>
      </w:r>
    </w:p>
    <w:p>
      <w:pPr>
        <w:pStyle w:val="ConsPlusNormal"/>
        <w:ind w:firstLine="709"/>
        <w:jc w:val="both"/>
        <w:rPr/>
      </w:pPr>
      <w:r>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pPr>
        <w:pStyle w:val="ConsPlusNormal"/>
        <w:ind w:firstLine="709"/>
        <w:jc w:val="both"/>
        <w:rPr/>
      </w:pPr>
      <w:r>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Pr>
          <w:szCs w:val="28"/>
        </w:rPr>
        <w:t xml:space="preserve">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 </w:t>
      </w:r>
    </w:p>
    <w:p>
      <w:pPr>
        <w:pStyle w:val="Normal"/>
        <w:ind w:firstLine="709"/>
        <w:jc w:val="both"/>
        <w:rPr/>
      </w:pPr>
      <w:r>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pPr>
        <w:pStyle w:val="Normal"/>
        <w:ind w:firstLine="709"/>
        <w:jc w:val="both"/>
        <w:rPr>
          <w:b/>
          <w:b/>
        </w:rPr>
      </w:pPr>
      <w:r>
        <w:rPr>
          <w:b/>
        </w:rPr>
        <w:t>1. Внеслужебное общение с заинтересованными лицами.</w:t>
      </w:r>
    </w:p>
    <w:p>
      <w:pPr>
        <w:pStyle w:val="Normal"/>
        <w:ind w:firstLine="709"/>
        <w:jc w:val="both"/>
        <w:rPr/>
      </w:pPr>
      <w:r>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pPr>
        <w:pStyle w:val="ConsPlusNormal"/>
        <w:ind w:firstLine="709"/>
        <w:jc w:val="both"/>
        <w:rPr/>
      </w:pPr>
      <w:r>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pPr>
        <w:pStyle w:val="ConsPlusNormal"/>
        <w:ind w:firstLine="709"/>
        <w:jc w:val="both"/>
        <w:rPr/>
      </w:pPr>
      <w:r>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pPr>
        <w:pStyle w:val="ConsPlusNormal"/>
        <w:ind w:firstLine="709"/>
        <w:jc w:val="both"/>
        <w:rPr/>
      </w:pPr>
      <w:r>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pPr>
        <w:pStyle w:val="Normal"/>
        <w:ind w:firstLine="709"/>
        <w:jc w:val="both"/>
        <w:rPr>
          <w:b/>
          <w:b/>
        </w:rPr>
      </w:pPr>
      <w:r>
        <w:rPr>
          <w:b/>
        </w:rPr>
        <w:t>2. Использование должностного статуса для получения личных преимуществ.</w:t>
      </w:r>
    </w:p>
    <w:p>
      <w:pPr>
        <w:pStyle w:val="ConsPlusNormal"/>
        <w:ind w:firstLine="709"/>
        <w:jc w:val="both"/>
        <w:rPr>
          <w:szCs w:val="28"/>
        </w:rPr>
      </w:pPr>
      <w:r>
        <w:rPr>
          <w:bCs w:val="false"/>
          <w:szCs w:val="28"/>
        </w:rPr>
        <w:t>С</w:t>
      </w:r>
      <w:r>
        <w:rPr>
          <w:szCs w:val="28"/>
        </w:rPr>
        <w:t>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pPr>
        <w:pStyle w:val="Normal"/>
        <w:ind w:firstLine="540"/>
        <w:jc w:val="both"/>
        <w:rPr/>
      </w:pPr>
      <w:r>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pPr>
        <w:pStyle w:val="ConsPlusNormal"/>
        <w:ind w:firstLine="709"/>
        <w:jc w:val="both"/>
        <w:rPr>
          <w:bCs w:val="false"/>
          <w:szCs w:val="28"/>
        </w:rPr>
      </w:pPr>
      <w:r>
        <w:rPr>
          <w:bCs w:val="false"/>
          <w:szCs w:val="28"/>
        </w:rPr>
        <w:t xml:space="preserve">Неэтичным для служащего при решении вопросов личного характера для себя </w:t>
      </w:r>
      <w:r>
        <w:rPr>
          <w:szCs w:val="28"/>
        </w:rPr>
        <w:t>или в интересах иных лиц</w:t>
      </w:r>
      <w:r>
        <w:rPr>
          <w:bCs w:val="false"/>
          <w:szCs w:val="28"/>
        </w:rPr>
        <w:t xml:space="preserve">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pPr>
        <w:pStyle w:val="ConsPlusNormal"/>
        <w:ind w:firstLine="709"/>
        <w:jc w:val="both"/>
        <w:rPr>
          <w:bCs w:val="false"/>
        </w:rPr>
      </w:pPr>
      <w:r>
        <w:rPr>
          <w:bCs w:val="false"/>
          <w:szCs w:val="28"/>
        </w:rPr>
        <w:t xml:space="preserve">Служащему рекомендуется сообщать </w:t>
      </w:r>
      <w:r>
        <w:rPr>
          <w:bCs w:val="false"/>
        </w:rPr>
        <w:t>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pPr>
        <w:pStyle w:val="Normal"/>
        <w:ind w:firstLine="709"/>
        <w:jc w:val="both"/>
        <w:rPr>
          <w:bCs/>
        </w:rPr>
      </w:pPr>
      <w:r>
        <w:rPr>
          <w:bCs/>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pPr>
        <w:pStyle w:val="Normal"/>
        <w:ind w:firstLine="709"/>
        <w:jc w:val="both"/>
        <w:rPr>
          <w:strike/>
        </w:rPr>
      </w:pPr>
      <w:r>
        <w:rPr>
          <w:bCs/>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pPr>
        <w:pStyle w:val="Normal"/>
        <w:ind w:firstLine="709"/>
        <w:jc w:val="both"/>
        <w:rPr>
          <w:b/>
          <w:b/>
        </w:rPr>
      </w:pPr>
      <w:r>
        <w:rPr>
          <w:b/>
        </w:rPr>
        <w:t>3. Использование имущества, несопоставимого с доходами.</w:t>
      </w:r>
    </w:p>
    <w:p>
      <w:pPr>
        <w:pStyle w:val="ConsPlusNormal"/>
        <w:ind w:firstLine="709"/>
        <w:jc w:val="both"/>
        <w:rPr/>
      </w:pPr>
      <w:r>
        <w:rP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w:t>
      </w:r>
    </w:p>
    <w:p>
      <w:pPr>
        <w:pStyle w:val="ConsPlusNormal"/>
        <w:ind w:firstLine="709"/>
        <w:jc w:val="both"/>
        <w:rPr/>
      </w:pPr>
      <w:r>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pPr>
        <w:pStyle w:val="ConsPlusNormal"/>
        <w:ind w:firstLine="709"/>
        <w:jc w:val="both"/>
        <w:rPr/>
      </w:pPr>
      <w:r>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pPr>
        <w:pStyle w:val="ConsPlusNormal"/>
        <w:ind w:firstLine="709"/>
        <w:jc w:val="both"/>
        <w:rPr>
          <w:b/>
          <w:b/>
          <w:szCs w:val="28"/>
        </w:rPr>
      </w:pPr>
      <w:r>
        <w:rPr>
          <w:b/>
          <w:szCs w:val="28"/>
        </w:rPr>
      </w:r>
    </w:p>
    <w:p>
      <w:pPr>
        <w:pStyle w:val="ConsPlusNormal"/>
        <w:ind w:firstLine="709"/>
        <w:jc w:val="both"/>
        <w:rPr>
          <w:b/>
          <w:b/>
          <w:szCs w:val="28"/>
        </w:rPr>
      </w:pPr>
      <w:r>
        <w:rPr>
          <w:b/>
          <w:szCs w:val="28"/>
        </w:rPr>
        <w:t>Разъяснительная работа.</w:t>
      </w:r>
    </w:p>
    <w:p>
      <w:pPr>
        <w:pStyle w:val="Normal"/>
        <w:ind w:firstLine="709"/>
        <w:jc w:val="both"/>
        <w:rPr>
          <w:bCs/>
        </w:rPr>
      </w:pPr>
      <w:r>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pPr>
        <w:pStyle w:val="Normal"/>
        <w:ind w:firstLine="709"/>
        <w:jc w:val="both"/>
        <w:rPr/>
      </w:pPr>
      <w:r>
        <w:rPr/>
      </w:r>
    </w:p>
    <w:p>
      <w:pPr>
        <w:pStyle w:val="Normal"/>
        <w:ind w:firstLine="709"/>
        <w:jc w:val="both"/>
        <w:rPr>
          <w:b/>
          <w:b/>
        </w:rPr>
      </w:pPr>
      <w:r>
        <w:rPr>
          <w:b/>
        </w:rPr>
        <w:t xml:space="preserve">Применение мер ответственности. </w:t>
      </w:r>
    </w:p>
    <w:p>
      <w:pPr>
        <w:pStyle w:val="Normal"/>
        <w:ind w:firstLine="709"/>
        <w:jc w:val="both"/>
        <w:rPr/>
      </w:pPr>
      <w:r>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pPr>
        <w:pStyle w:val="Normal"/>
        <w:ind w:firstLine="709"/>
        <w:jc w:val="both"/>
        <w:rPr/>
      </w:pPr>
      <w:r>
        <w:rPr/>
        <w:t>указать служащему на недопустимость совершения неэтичного поступка;</w:t>
      </w:r>
    </w:p>
    <w:p>
      <w:pPr>
        <w:pStyle w:val="Normal"/>
        <w:ind w:firstLine="709"/>
        <w:jc w:val="both"/>
        <w:rPr/>
      </w:pPr>
      <w:r>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pPr>
        <w:pStyle w:val="Normal"/>
        <w:ind w:firstLine="709"/>
        <w:jc w:val="both"/>
        <w:rPr/>
      </w:pPr>
      <w:r>
        <w:rPr/>
        <w:t>Указание служащему на недопустимость совершения неэтичного поступка может выражаться в:</w:t>
      </w:r>
    </w:p>
    <w:p>
      <w:pPr>
        <w:pStyle w:val="Normal"/>
        <w:ind w:firstLine="709"/>
        <w:jc w:val="both"/>
        <w:rPr/>
      </w:pPr>
      <w:r>
        <w:rPr/>
        <w:t>устном замечании;</w:t>
      </w:r>
    </w:p>
    <w:p>
      <w:pPr>
        <w:pStyle w:val="Normal"/>
        <w:ind w:firstLine="709"/>
        <w:jc w:val="both"/>
        <w:rPr/>
      </w:pPr>
      <w:r>
        <w:rPr/>
        <w:t>предупреждении о недопустимости совершения неэтичного поступка;</w:t>
      </w:r>
    </w:p>
    <w:p>
      <w:pPr>
        <w:pStyle w:val="Normal"/>
        <w:ind w:firstLine="709"/>
        <w:jc w:val="both"/>
        <w:rPr/>
      </w:pPr>
      <w:r>
        <w:rPr/>
        <w:t>требовании о публичном извинении.</w:t>
      </w:r>
    </w:p>
    <w:p>
      <w:pPr>
        <w:pStyle w:val="Normal"/>
        <w:ind w:firstLine="709"/>
        <w:jc w:val="both"/>
        <w:rPr/>
      </w:pPr>
      <w:r>
        <w:rPr/>
        <w:t xml:space="preserve">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w:t>
      </w:r>
    </w:p>
    <w:p>
      <w:pPr>
        <w:pStyle w:val="Normal"/>
        <w:ind w:firstLine="709"/>
        <w:jc w:val="both"/>
        <w:rPr/>
      </w:pPr>
      <w:r>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pPr>
        <w:pStyle w:val="Normal"/>
        <w:ind w:firstLine="709"/>
        <w:jc w:val="both"/>
        <w:rPr>
          <w:bCs/>
        </w:rPr>
      </w:pPr>
      <w:r>
        <w:rPr/>
        <w:t xml:space="preserve">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w:t>
      </w:r>
      <w:r>
        <w:rPr>
          <w:bCs/>
        </w:rPr>
        <w:t>служащего</w:t>
      </w:r>
      <w:r>
        <w:rPr/>
        <w:t xml:space="preserve"> на предмет его соответствия ограничениям, запретам и требованиям к служебному поведению исходя из</w:t>
      </w:r>
      <w:r>
        <w:rPr>
          <w:bCs/>
        </w:rPr>
        <w:t xml:space="preserve"> характера, места, времени и обстоятельств его совершения.</w:t>
      </w:r>
    </w:p>
    <w:p>
      <w:pPr>
        <w:pStyle w:val="Normal"/>
        <w:ind w:firstLine="709"/>
        <w:jc w:val="both"/>
        <w:rPr>
          <w:bCs/>
        </w:rPr>
      </w:pPr>
      <w:r>
        <w:rPr>
          <w:bCs/>
        </w:rPr>
        <w:t xml:space="preserve">Размер аудитории, которой стало известно о совершении служащим неэтичного поступка, увеличивает </w:t>
      </w:r>
      <w:r>
        <w:rPr/>
        <w:t>ущерб, причиненный репутации служащего, авторитету государственного (муниципального) органа</w:t>
      </w:r>
      <w:r>
        <w:rPr>
          <w:bCs/>
        </w:rPr>
        <w:t>.</w:t>
      </w:r>
    </w:p>
    <w:p>
      <w:pPr>
        <w:pStyle w:val="Normal"/>
        <w:ind w:firstLine="709"/>
        <w:jc w:val="both"/>
        <w:rPr/>
      </w:pPr>
      <w:r>
        <w:rPr>
          <w:bCs/>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w:t>
      </w:r>
      <w:r>
        <w:rPr/>
        <w:t>комиссии по соблюдению требований к служебному поведению служащих и урегулированию конфликта интересов, при принятии кадровых решений.</w:t>
      </w:r>
    </w:p>
    <w:sectPr>
      <w:headerReference w:type="default" r:id="rId2"/>
      <w:type w:val="nextPage"/>
      <w:pgSz w:w="11906" w:h="16838"/>
      <w:pgMar w:left="1701" w:right="851" w:header="0" w:top="1134" w:footer="0" w:bottom="1134" w:gutter="0"/>
      <w:pgNumType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62419450"/>
    </w:sdtPr>
    <w:sdtContent>
      <w:p>
        <w:pPr>
          <w:pStyle w:val="Style24"/>
          <w:jc w:val="center"/>
          <w:rPr/>
        </w:pPr>
        <w:r>
          <w:rPr/>
        </w:r>
      </w:p>
      <w:p>
        <w:pPr>
          <w:pStyle w:val="Style24"/>
          <w:jc w:val="center"/>
          <w:rPr/>
        </w:pPr>
        <w:r>
          <w:rPr/>
        </w:r>
      </w:p>
      <w:p>
        <w:pPr>
          <w:pStyle w:val="Style24"/>
          <w:jc w:val="center"/>
          <w:rPr/>
        </w:pPr>
        <w:r>
          <w:rPr>
            <w:sz w:val="24"/>
            <w:szCs w:val="24"/>
          </w:rPr>
          <w:fldChar w:fldCharType="begin"/>
        </w:r>
        <w:r>
          <w:instrText> PAGE </w:instrText>
        </w:r>
        <w:r>
          <w:fldChar w:fldCharType="separate"/>
        </w:r>
        <w:r>
          <w:t>5</w:t>
        </w:r>
        <w:r>
          <w:fldChar w:fldCharType="end"/>
        </w:r>
      </w:p>
    </w:sdtContent>
  </w:sdt>
  <w:p>
    <w:pPr>
      <w:pStyle w:val="Style24"/>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1f6c"/>
    <w:pPr>
      <w:widowControl/>
      <w:bidi w:val="0"/>
      <w:jc w:val="left"/>
    </w:pPr>
    <w:rPr>
      <w:rFonts w:ascii="Times New Roman" w:hAnsi="Times New Roman" w:eastAsia="Calibri" w:cs="Times New Roman" w:eastAsiaTheme="minorHAnsi"/>
      <w:color w:val="auto"/>
      <w:sz w:val="28"/>
      <w:szCs w:val="28"/>
      <w:lang w:val="ru-RU" w:eastAsia="en-US" w:bidi="ar-SA"/>
    </w:rPr>
  </w:style>
  <w:style w:type="paragraph" w:styleId="1">
    <w:name w:val="Heading 1"/>
    <w:basedOn w:val="Normal"/>
    <w:link w:val="10"/>
    <w:uiPriority w:val="9"/>
    <w:qFormat/>
    <w:rsid w:val="00da011f"/>
    <w:pPr>
      <w:keepNext/>
      <w:keepLines/>
      <w:spacing w:before="480" w:after="0"/>
      <w:outlineLvl w:val="0"/>
    </w:pPr>
    <w:rPr>
      <w:rFonts w:ascii="Cambria" w:hAnsi="Cambria" w:eastAsia="" w:cs="" w:asciiTheme="majorHAnsi" w:cstheme="majorBidi" w:eastAsiaTheme="majorEastAsia" w:hAnsiTheme="majorHAnsi"/>
      <w:b/>
      <w:color w:val="365F91" w:themeColor="accent1" w:themeShade="bf"/>
    </w:rPr>
  </w:style>
  <w:style w:type="paragraph" w:styleId="2">
    <w:name w:val="Heading 2"/>
    <w:basedOn w:val="Normal"/>
    <w:link w:val="20"/>
    <w:uiPriority w:val="9"/>
    <w:qFormat/>
    <w:rsid w:val="00e9051b"/>
    <w:pPr>
      <w:spacing w:beforeAutospacing="1" w:afterAutospacing="1"/>
      <w:outlineLvl w:val="1"/>
    </w:pPr>
    <w:rPr>
      <w:rFonts w:eastAsia="Times New Roman"/>
      <w:b/>
      <w:sz w:val="36"/>
      <w:szCs w:val="36"/>
      <w:lang w:eastAsia="ru-RU"/>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5e7f68"/>
    <w:rPr>
      <w:color w:val="0000FF" w:themeColor="hyperlink"/>
      <w:u w:val="single"/>
    </w:rPr>
  </w:style>
  <w:style w:type="character" w:styleId="Style13" w:customStyle="1">
    <w:name w:val="Верхний колонтитул Знак"/>
    <w:basedOn w:val="DefaultParagraphFont"/>
    <w:link w:val="a4"/>
    <w:uiPriority w:val="99"/>
    <w:qFormat/>
    <w:rsid w:val="001f7781"/>
    <w:rPr/>
  </w:style>
  <w:style w:type="character" w:styleId="Style14" w:customStyle="1">
    <w:name w:val="Нижний колонтитул Знак"/>
    <w:basedOn w:val="DefaultParagraphFont"/>
    <w:link w:val="a6"/>
    <w:uiPriority w:val="99"/>
    <w:semiHidden/>
    <w:qFormat/>
    <w:rsid w:val="001f7781"/>
    <w:rPr/>
  </w:style>
  <w:style w:type="character" w:styleId="Style15" w:customStyle="1">
    <w:name w:val="Текст выноски Знак"/>
    <w:basedOn w:val="DefaultParagraphFont"/>
    <w:link w:val="a8"/>
    <w:uiPriority w:val="99"/>
    <w:semiHidden/>
    <w:qFormat/>
    <w:rsid w:val="005d639e"/>
    <w:rPr>
      <w:rFonts w:ascii="Tahoma" w:hAnsi="Tahoma" w:cs="Tahoma"/>
      <w:sz w:val="16"/>
      <w:szCs w:val="16"/>
    </w:rPr>
  </w:style>
  <w:style w:type="character" w:styleId="21" w:customStyle="1">
    <w:name w:val="Заголовок 2 Знак"/>
    <w:basedOn w:val="DefaultParagraphFont"/>
    <w:link w:val="2"/>
    <w:uiPriority w:val="9"/>
    <w:qFormat/>
    <w:rsid w:val="00e9051b"/>
    <w:rPr>
      <w:rFonts w:eastAsia="Times New Roman"/>
      <w:b/>
      <w:sz w:val="36"/>
      <w:szCs w:val="36"/>
      <w:lang w:eastAsia="ru-RU"/>
    </w:rPr>
  </w:style>
  <w:style w:type="character" w:styleId="Style16" w:customStyle="1">
    <w:name w:val="Текст сноски Знак"/>
    <w:basedOn w:val="DefaultParagraphFont"/>
    <w:link w:val="ab"/>
    <w:semiHidden/>
    <w:qFormat/>
    <w:rsid w:val="005f74a6"/>
    <w:rPr>
      <w:rFonts w:eastAsia="Times New Roman"/>
      <w:bCs w:val="false"/>
      <w:sz w:val="20"/>
      <w:szCs w:val="20"/>
      <w:lang w:eastAsia="ru-RU"/>
    </w:rPr>
  </w:style>
  <w:style w:type="character" w:styleId="11" w:customStyle="1">
    <w:name w:val="Заголовок 1 Знак"/>
    <w:basedOn w:val="DefaultParagraphFont"/>
    <w:link w:val="1"/>
    <w:uiPriority w:val="9"/>
    <w:qFormat/>
    <w:rsid w:val="00da011f"/>
    <w:rPr>
      <w:rFonts w:ascii="Cambria" w:hAnsi="Cambria" w:eastAsia="" w:cs="" w:asciiTheme="majorHAnsi" w:cstheme="majorBidi" w:eastAsiaTheme="majorEastAsia" w:hAnsiTheme="majorHAnsi"/>
      <w:b/>
      <w:bCs w:val="false"/>
      <w:color w:val="365F91" w:themeColor="accent1" w:themeShade="bf"/>
    </w:rPr>
  </w:style>
  <w:style w:type="character" w:styleId="Footnotereference">
    <w:name w:val="footnote reference"/>
    <w:basedOn w:val="DefaultParagraphFont"/>
    <w:uiPriority w:val="99"/>
    <w:semiHidden/>
    <w:unhideWhenUsed/>
    <w:qFormat/>
    <w:rsid w:val="00537e8b"/>
    <w:rPr>
      <w:vertAlign w:val="superscript"/>
    </w:rPr>
  </w:style>
  <w:style w:type="character" w:styleId="Blk" w:customStyle="1">
    <w:name w:val="blk"/>
    <w:basedOn w:val="DefaultParagraphFont"/>
    <w:qFormat/>
    <w:rsid w:val="00231567"/>
    <w:rPr/>
  </w:style>
  <w:style w:type="character" w:styleId="Annotationreference">
    <w:name w:val="annotation reference"/>
    <w:basedOn w:val="DefaultParagraphFont"/>
    <w:uiPriority w:val="99"/>
    <w:semiHidden/>
    <w:unhideWhenUsed/>
    <w:qFormat/>
    <w:rsid w:val="00442858"/>
    <w:rPr>
      <w:sz w:val="16"/>
      <w:szCs w:val="16"/>
    </w:rPr>
  </w:style>
  <w:style w:type="character" w:styleId="Style17" w:customStyle="1">
    <w:name w:val="Текст примечания Знак"/>
    <w:basedOn w:val="DefaultParagraphFont"/>
    <w:link w:val="af"/>
    <w:uiPriority w:val="99"/>
    <w:semiHidden/>
    <w:qFormat/>
    <w:rsid w:val="00442858"/>
    <w:rPr>
      <w:sz w:val="20"/>
      <w:szCs w:val="20"/>
    </w:rPr>
  </w:style>
  <w:style w:type="character" w:styleId="Style18" w:customStyle="1">
    <w:name w:val="Тема примечания Знак"/>
    <w:basedOn w:val="Style17"/>
    <w:link w:val="af1"/>
    <w:uiPriority w:val="99"/>
    <w:semiHidden/>
    <w:qFormat/>
    <w:rsid w:val="00442858"/>
    <w:rPr>
      <w:b/>
      <w:bCs/>
      <w:sz w:val="20"/>
      <w:szCs w:val="20"/>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Header"/>
    <w:basedOn w:val="Normal"/>
    <w:link w:val="a5"/>
    <w:uiPriority w:val="99"/>
    <w:unhideWhenUsed/>
    <w:rsid w:val="001f7781"/>
    <w:pPr>
      <w:tabs>
        <w:tab w:val="center" w:pos="4677" w:leader="none"/>
        <w:tab w:val="right" w:pos="9355" w:leader="none"/>
      </w:tabs>
    </w:pPr>
    <w:rPr/>
  </w:style>
  <w:style w:type="paragraph" w:styleId="Style25">
    <w:name w:val="Footer"/>
    <w:basedOn w:val="Normal"/>
    <w:link w:val="a7"/>
    <w:uiPriority w:val="99"/>
    <w:semiHidden/>
    <w:unhideWhenUsed/>
    <w:rsid w:val="001f7781"/>
    <w:pPr>
      <w:tabs>
        <w:tab w:val="center" w:pos="4677" w:leader="none"/>
        <w:tab w:val="right" w:pos="9355" w:leader="none"/>
      </w:tabs>
    </w:pPr>
    <w:rPr/>
  </w:style>
  <w:style w:type="paragraph" w:styleId="BalloonText">
    <w:name w:val="Balloon Text"/>
    <w:basedOn w:val="Normal"/>
    <w:link w:val="a9"/>
    <w:uiPriority w:val="99"/>
    <w:semiHidden/>
    <w:unhideWhenUsed/>
    <w:qFormat/>
    <w:rsid w:val="005d639e"/>
    <w:pPr/>
    <w:rPr>
      <w:rFonts w:ascii="Tahoma" w:hAnsi="Tahoma" w:cs="Tahoma"/>
      <w:sz w:val="16"/>
      <w:szCs w:val="16"/>
    </w:rPr>
  </w:style>
  <w:style w:type="paragraph" w:styleId="ListParagraph">
    <w:name w:val="List Paragraph"/>
    <w:basedOn w:val="Normal"/>
    <w:uiPriority w:val="34"/>
    <w:qFormat/>
    <w:rsid w:val="008f3840"/>
    <w:pPr>
      <w:spacing w:before="0" w:after="0"/>
      <w:ind w:left="720" w:hanging="0"/>
      <w:contextualSpacing/>
    </w:pPr>
    <w:rPr/>
  </w:style>
  <w:style w:type="paragraph" w:styleId="Footnotetext">
    <w:name w:val="footnote text"/>
    <w:basedOn w:val="Normal"/>
    <w:link w:val="ac"/>
    <w:semiHidden/>
    <w:qFormat/>
    <w:rsid w:val="005f74a6"/>
    <w:pPr/>
    <w:rPr>
      <w:rFonts w:eastAsia="Times New Roman"/>
      <w:sz w:val="20"/>
      <w:szCs w:val="20"/>
      <w:lang w:eastAsia="ru-RU"/>
    </w:rPr>
  </w:style>
  <w:style w:type="paragraph" w:styleId="ConsPlusNormal" w:customStyle="1">
    <w:name w:val="ConsPlusNormal"/>
    <w:qFormat/>
    <w:rsid w:val="00ac2d2c"/>
    <w:pPr>
      <w:widowControl w:val="false"/>
      <w:bidi w:val="0"/>
      <w:jc w:val="left"/>
    </w:pPr>
    <w:rPr>
      <w:rFonts w:eastAsia="Times New Roman" w:ascii="Times New Roman" w:hAnsi="Times New Roman" w:cs="Times New Roman"/>
      <w:bCs/>
      <w:color w:val="auto"/>
      <w:sz w:val="28"/>
      <w:szCs w:val="20"/>
      <w:lang w:eastAsia="ru-RU" w:val="ru-RU" w:bidi="ar-SA"/>
    </w:rPr>
  </w:style>
  <w:style w:type="paragraph" w:styleId="Annotationtext">
    <w:name w:val="annotation text"/>
    <w:basedOn w:val="Normal"/>
    <w:link w:val="af0"/>
    <w:uiPriority w:val="99"/>
    <w:semiHidden/>
    <w:unhideWhenUsed/>
    <w:qFormat/>
    <w:rsid w:val="00442858"/>
    <w:pPr/>
    <w:rPr>
      <w:sz w:val="20"/>
      <w:szCs w:val="20"/>
    </w:rPr>
  </w:style>
  <w:style w:type="paragraph" w:styleId="Annotationsubject">
    <w:name w:val="annotation subject"/>
    <w:basedOn w:val="Annotationtext"/>
    <w:link w:val="af2"/>
    <w:uiPriority w:val="99"/>
    <w:semiHidden/>
    <w:unhideWhenUsed/>
    <w:qFormat/>
    <w:rsid w:val="00442858"/>
    <w:pPr/>
    <w:rPr>
      <w:b/>
      <w:bCs/>
    </w:rPr>
  </w:style>
  <w:style w:type="paragraph" w:styleId="Revision">
    <w:name w:val="Revision"/>
    <w:uiPriority w:val="99"/>
    <w:semiHidden/>
    <w:qFormat/>
    <w:rsid w:val="00442858"/>
    <w:pPr>
      <w:widowControl/>
      <w:bidi w:val="0"/>
      <w:jc w:val="left"/>
    </w:pPr>
    <w:rPr>
      <w:rFonts w:ascii="Times New Roman" w:hAnsi="Times New Roman" w:eastAsia="Calibri" w:cs="Times New Roman" w:eastAsiaTheme="minorHAnsi"/>
      <w:color w:val="auto"/>
      <w:sz w:val="28"/>
      <w:szCs w:val="28"/>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8EF15-7DFB-42F0-9A67-0577CF3B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LibreOffice/5.3.0.3$Windows_x86 LibreOffice_project/7074905676c47b82bbcfbea1aeefc84afe1c50e1</Application>
  <Pages>3</Pages>
  <Words>1336</Words>
  <Characters>10435</Characters>
  <CharactersWithSpaces>11732</CharactersWithSpaces>
  <Paragraphs>51</Paragraphs>
  <Company>MTSZ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2017-11-19T19:35:00Z</dcterms:created>
  <dc:creator>ishmuratovra</dc:creator>
  <dc:description/>
  <dc:language>ru-RU</dc:language>
  <cp:lastModifiedBy>Колягин Александр Анатольевич</cp:lastModifiedBy>
  <cp:lastPrinted>2017-10-05T09:14:00Z</cp:lastPrinted>
  <dcterms:modified xsi:type="dcterms:W3CDTF">2018-07-20T13:47:00Z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MTSZ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