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BA" w:rsidRPr="00F10FBA" w:rsidRDefault="00F10FBA" w:rsidP="00F1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F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новеллы в Методических рекомендациях по вопросам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F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представления сведений о доходах, расходах, об имуществе и обязательствах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F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имущественного характера и заполнения соответствующей формы справки</w:t>
      </w:r>
    </w:p>
    <w:p w:rsidR="00F10FBA" w:rsidRDefault="00F10FBA" w:rsidP="00F1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F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2022 году (за отчетный 2021 год)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0FBA" w:rsidRPr="00F10FBA" w:rsidRDefault="00F10FBA" w:rsidP="00F10FB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В течение последних лет является устоявшейся практика подготовки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Министерством труда и социальной защиты Российской Федерации ежегодно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обновляемых Методических рекомендаций по вопросам представления сведений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и заполнения соответствующей формы справки (далее – Методические</w:t>
      </w:r>
      <w:proofErr w:type="gramEnd"/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рекомендации, сведения соответственно), направления их </w:t>
      </w: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в</w:t>
      </w:r>
      <w:proofErr w:type="gramEnd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 заинтересованные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государственные органы и организации, а также размещения на официальном сайте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Минтруда России.</w:t>
      </w:r>
    </w:p>
    <w:p w:rsidR="00F10FBA" w:rsidRPr="00F10FBA" w:rsidRDefault="00F10FBA" w:rsidP="00F10FB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Методические рекомендации для применения в ходе декларационной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кампании 2022 года (за отчетный 2021 год) подготовлены Министерством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при участии Администрации Президента Российской Федерации, Центрального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банка Российской Федерации, Генеральной прокуратуры Российской Федерации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и иных заинтересованных федеральных государственных органов.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В ходе использования в работе указанных Методических рекомендаций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предлагаем обратить внимание на следующее.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F10FBA" w:rsidRPr="00F10FBA" w:rsidRDefault="00F10FBA" w:rsidP="00F10F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В Методических рекомендациях подчеркнуто, что </w:t>
      </w: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отдельные</w:t>
      </w:r>
      <w:proofErr w:type="gramEnd"/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особенности представления сведений могут быть установлены нормативными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правовыми актами субъектов Российской Федерации с учетом предоставленных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полномочий.</w:t>
      </w:r>
    </w:p>
    <w:p w:rsid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F10FBA" w:rsidRPr="00F10FBA" w:rsidRDefault="00F10FBA" w:rsidP="00F10F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В пункте 13 Методических рекомендаций отмечено, что перевод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на государственной гражданской службе Российской Федерации предполагает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увольнение и, как следствие, необходимость представления сведений в качестве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кандидата.</w:t>
      </w:r>
    </w:p>
    <w:p w:rsidR="00F10FBA" w:rsidRPr="00F10FBA" w:rsidRDefault="00F10FBA" w:rsidP="00F10F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Ошибочное (неточное) указание сведений вследствие ошибок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и неточностей, допущенных органом публичной власти или организацией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в выданных официальных документах (выписках), на основании которых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представляются сведения, не влечет применение взыскания. В этой связи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в Методических рекомендациях отмечена целесообразность представления сведений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на основании официальных документов, например, на основании </w:t>
      </w: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полученной</w:t>
      </w:r>
      <w:proofErr w:type="gramEnd"/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информации из единой формы, установленной Указанием Банка России от 27 мая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2021 г. № 5798-У "О порядке предоставления кредитными организациями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и </w:t>
      </w:r>
      <w:proofErr w:type="spell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некредитными</w:t>
      </w:r>
      <w:proofErr w:type="spellEnd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 финансовыми организациями гражданам сведений о наличии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счетов и иной информации, необходимой для представления гражданами сведений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 доходах, расходах, об имуществе и обязательствах имущественного характера,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 единой форме предоставления сведений и порядке ее заполнения".</w:t>
      </w:r>
    </w:p>
    <w:p w:rsidR="00F10FBA" w:rsidRPr="00F10FBA" w:rsidRDefault="00F10FBA" w:rsidP="00F10F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Актуализирован перечень выплат, которые могут быть признаны</w:t>
      </w:r>
    </w:p>
    <w:p w:rsidR="00F10FBA" w:rsidRP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доходом для целей законодательства Российской Федерации о противодействии</w:t>
      </w:r>
    </w:p>
    <w:p w:rsidR="00F10FBA" w:rsidRDefault="00F10FBA" w:rsidP="00F10FB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коррупции.</w:t>
      </w:r>
    </w:p>
    <w:p w:rsidR="00F10FBA" w:rsidRPr="00F10FBA" w:rsidRDefault="00F10FBA" w:rsidP="00F10F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Указан порядок отражения социальной поддержки молодежи в возрасте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от 14 до 22 лет для повышения доступности организаций культуры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(т.н. "Пушкинская карта").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   6. </w:t>
      </w: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В Методических рекомендациях учтены изменения, предусмотренные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Указом Президента Российской Федерации от 10 декабря 2020 г. № 778 "О мерах </w:t>
      </w: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по</w:t>
      </w:r>
      <w:proofErr w:type="gramEnd"/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реализации отдельных положений Федерального закона "</w:t>
      </w: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</w:t>
      </w:r>
      <w:proofErr w:type="gramEnd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 цифровых финансовых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активах, цифровой валюте и о внесении изменений в </w:t>
      </w: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отдельные</w:t>
      </w:r>
      <w:proofErr w:type="gramEnd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 законодательные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акты Российской Федерации".</w:t>
      </w:r>
    </w:p>
    <w:p w:rsidR="00F10FBA" w:rsidRPr="00F10FBA" w:rsidRDefault="00F10FBA" w:rsidP="00F10FBA">
      <w:pPr>
        <w:shd w:val="clear" w:color="auto" w:fill="FFFFFF"/>
        <w:spacing w:after="0" w:line="240" w:lineRule="auto"/>
        <w:ind w:left="360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7.</w:t>
      </w: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Определены особенности представления информации в случае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 xml:space="preserve">приобретение недвижимого имущества посредством участия в </w:t>
      </w: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долевом</w:t>
      </w:r>
      <w:proofErr w:type="gramEnd"/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строительстве</w:t>
      </w:r>
      <w:proofErr w:type="gramEnd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 с использованием счетов </w:t>
      </w:r>
      <w:proofErr w:type="spell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эскроу</w:t>
      </w:r>
      <w:proofErr w:type="spellEnd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F10FBA" w:rsidRPr="00F10FBA" w:rsidRDefault="00F10FBA" w:rsidP="00F10FB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8. </w:t>
      </w: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В пункте 154 Методических рекомендаций обозначено, что </w:t>
      </w: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уставный</w:t>
      </w:r>
      <w:proofErr w:type="gramEnd"/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капитал зарубежных организаций необходимо устанавливать в соответствии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с применимым правом (допускается использование данных из официальных</w:t>
      </w:r>
      <w:proofErr w:type="gramEnd"/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источников в информационно-телекоммуникационной сети "Интернет").</w:t>
      </w:r>
    </w:p>
    <w:p w:rsidR="00F10FBA" w:rsidRPr="00F10FBA" w:rsidRDefault="00F10FBA" w:rsidP="00F10FB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9. </w:t>
      </w: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Определенны особенности представления информации об акциях,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приобретенных на организованных торгах.</w:t>
      </w:r>
      <w:proofErr w:type="gramEnd"/>
    </w:p>
    <w:p w:rsidR="00F10FBA" w:rsidRPr="00F10FBA" w:rsidRDefault="00F10FBA" w:rsidP="00F10FB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10. </w:t>
      </w: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Отмечено, что при наличии обстоятельств фьючерсный договор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подлежит отражению.</w:t>
      </w:r>
    </w:p>
    <w:p w:rsidR="00F10FBA" w:rsidRPr="00F10FBA" w:rsidRDefault="00F10FBA" w:rsidP="00F10FB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11. </w:t>
      </w: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Актуализированы особенности представления информации о </w:t>
      </w: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срочных</w:t>
      </w:r>
      <w:proofErr w:type="gramEnd"/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обязательствах</w:t>
      </w:r>
      <w:proofErr w:type="gramEnd"/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 xml:space="preserve"> финансового характера, возникающих исходя из условий договора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со страховщиком.</w:t>
      </w:r>
    </w:p>
    <w:p w:rsidR="00F10FBA" w:rsidRPr="00F10FBA" w:rsidRDefault="00F10FBA" w:rsidP="00F10FBA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12. </w:t>
      </w: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Положения Методических рекомендаций в целом актуализированы</w:t>
      </w:r>
    </w:p>
    <w:p w:rsidR="00F10FBA" w:rsidRPr="00F10FBA" w:rsidRDefault="00F10FBA" w:rsidP="00F10FB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10FBA">
        <w:rPr>
          <w:rFonts w:ascii="YS Text" w:eastAsia="Times New Roman" w:hAnsi="YS Text" w:cs="Times New Roman"/>
          <w:color w:val="000000"/>
          <w:sz w:val="23"/>
          <w:szCs w:val="23"/>
        </w:rPr>
        <w:t>с учетом изменений нормативных правовых актов Российской Федерации.</w:t>
      </w:r>
    </w:p>
    <w:p w:rsidR="008A65CB" w:rsidRDefault="008A65CB" w:rsidP="00F10FBA">
      <w:pPr>
        <w:jc w:val="both"/>
      </w:pPr>
    </w:p>
    <w:sectPr w:rsidR="008A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A552D"/>
    <w:multiLevelType w:val="hybridMultilevel"/>
    <w:tmpl w:val="19BA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FBA"/>
    <w:rsid w:val="008A65CB"/>
    <w:rsid w:val="00F1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2022-03-31T07:32:00Z</dcterms:created>
  <dcterms:modified xsi:type="dcterms:W3CDTF">2022-03-31T07:35:00Z</dcterms:modified>
</cp:coreProperties>
</file>