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29A" w:rsidRPr="000D2EBF" w:rsidRDefault="0028729A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0D2EBF">
        <w:rPr>
          <w:b/>
          <w:sz w:val="28"/>
          <w:szCs w:val="28"/>
          <w:lang w:val="ru-RU"/>
        </w:rPr>
        <w:t>ДОКЛАД</w:t>
      </w:r>
    </w:p>
    <w:p w:rsidR="000D2EBF" w:rsidRPr="000D2EBF" w:rsidRDefault="0028729A">
      <w:pPr>
        <w:pStyle w:val="ConsTitle"/>
        <w:widowControl/>
        <w:ind w:right="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0D2EBF">
        <w:rPr>
          <w:rStyle w:val="a3"/>
          <w:rFonts w:ascii="Times New Roman" w:hAnsi="Times New Roman"/>
          <w:b/>
          <w:sz w:val="28"/>
          <w:szCs w:val="28"/>
        </w:rPr>
        <w:t>об осуществлении госуда</w:t>
      </w:r>
      <w:r w:rsidR="000D2EBF" w:rsidRPr="000D2EBF">
        <w:rPr>
          <w:rStyle w:val="a3"/>
          <w:rFonts w:ascii="Times New Roman" w:hAnsi="Times New Roman"/>
          <w:b/>
          <w:sz w:val="28"/>
          <w:szCs w:val="28"/>
        </w:rPr>
        <w:t>рственного контроля (надзора), </w:t>
      </w:r>
    </w:p>
    <w:p w:rsidR="0028729A" w:rsidRDefault="000D2EBF">
      <w:pPr>
        <w:pStyle w:val="ConsTitle"/>
        <w:widowControl/>
        <w:ind w:right="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0D2EBF">
        <w:rPr>
          <w:rStyle w:val="a3"/>
          <w:rFonts w:ascii="Times New Roman" w:hAnsi="Times New Roman"/>
          <w:b/>
          <w:sz w:val="28"/>
          <w:szCs w:val="28"/>
        </w:rPr>
        <w:t>м</w:t>
      </w:r>
      <w:r w:rsidR="0028729A" w:rsidRPr="000D2EBF">
        <w:rPr>
          <w:rStyle w:val="a3"/>
          <w:rFonts w:ascii="Times New Roman" w:hAnsi="Times New Roman"/>
          <w:b/>
          <w:sz w:val="28"/>
          <w:szCs w:val="28"/>
        </w:rPr>
        <w:t>униципального контроля за 20</w:t>
      </w:r>
      <w:r w:rsidR="00552D07" w:rsidRPr="000D2EBF">
        <w:rPr>
          <w:rStyle w:val="a3"/>
          <w:rFonts w:ascii="Times New Roman" w:hAnsi="Times New Roman"/>
          <w:b/>
          <w:sz w:val="28"/>
          <w:szCs w:val="28"/>
        </w:rPr>
        <w:t>20</w:t>
      </w:r>
      <w:r w:rsidR="0028729A" w:rsidRPr="000D2EBF">
        <w:rPr>
          <w:rStyle w:val="a3"/>
          <w:rFonts w:ascii="Times New Roman" w:hAnsi="Times New Roman"/>
          <w:b/>
          <w:sz w:val="28"/>
          <w:szCs w:val="28"/>
        </w:rPr>
        <w:t xml:space="preserve"> г</w:t>
      </w:r>
      <w:r w:rsidRPr="000D2EBF">
        <w:rPr>
          <w:rStyle w:val="a3"/>
          <w:rFonts w:ascii="Times New Roman" w:hAnsi="Times New Roman"/>
          <w:b/>
          <w:sz w:val="28"/>
          <w:szCs w:val="28"/>
        </w:rPr>
        <w:t>од</w:t>
      </w:r>
    </w:p>
    <w:p w:rsidR="000D2EBF" w:rsidRDefault="000D2EB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729A" w:rsidRDefault="0028729A" w:rsidP="00FD0A0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В соответствии с требованиями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Российской Федерации от 05.04.2010 № 215, Администрация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поселения, как уполномоченный орган по осуществлению муниципального контроля в соответствующих сферах деятельности предоставляет следующую информацию:</w:t>
      </w:r>
    </w:p>
    <w:p w:rsidR="000D2EBF" w:rsidRPr="000D2EBF" w:rsidRDefault="0028729A" w:rsidP="000D2EBF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0D2EBF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Состояние нормативно-правового регулирования </w:t>
      </w:r>
    </w:p>
    <w:p w:rsidR="0028729A" w:rsidRPr="000D2EBF" w:rsidRDefault="0028729A" w:rsidP="000D2EBF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0D2EBF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в соответствующей сфере деятельности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 территории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подлежат осуществлению следующие виды муниципального контроля: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контроль </w:t>
      </w:r>
      <w:r>
        <w:rPr>
          <w:rFonts w:cs="Times New Roman"/>
          <w:bCs/>
          <w:sz w:val="28"/>
          <w:szCs w:val="28"/>
          <w:lang w:val="ru-RU"/>
        </w:rPr>
        <w:t>за обеспечением сохранности автомобильных дорог местного значения поселения;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Pr="00525B77"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>контрол</w:t>
      </w:r>
      <w:r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>ь</w:t>
      </w:r>
      <w:r w:rsidRPr="00525B77"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 xml:space="preserve"> за операциями с бюджетными средствами получателей средств бюджета поселения, средствами администраторов источников финансирования дефицита бюджета</w:t>
      </w:r>
      <w:r w:rsidR="00054E51"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 xml:space="preserve"> </w:t>
      </w:r>
      <w:r w:rsidRPr="00525B77">
        <w:rPr>
          <w:rFonts w:cs="Times New Roman"/>
          <w:color w:val="auto"/>
          <w:sz w:val="28"/>
          <w:szCs w:val="28"/>
          <w:lang w:val="ru-RU"/>
        </w:rPr>
        <w:t>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</w:t>
      </w:r>
      <w:r>
        <w:rPr>
          <w:rFonts w:cs="Times New Roman"/>
          <w:bCs/>
          <w:sz w:val="28"/>
          <w:szCs w:val="28"/>
          <w:lang w:val="ru-RU"/>
        </w:rPr>
        <w:t>;</w:t>
      </w:r>
    </w:p>
    <w:p w:rsidR="0028729A" w:rsidRDefault="0028729A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контроль </w:t>
      </w:r>
      <w:r>
        <w:rPr>
          <w:rFonts w:cs="Times New Roman"/>
          <w:sz w:val="28"/>
          <w:szCs w:val="28"/>
          <w:lang w:val="ru-RU"/>
        </w:rPr>
        <w:t>за соблюдением установленного порядка управления и распоряжения имуществом, находящимся в муниципальной собственности поселения;</w:t>
      </w:r>
    </w:p>
    <w:p w:rsidR="0028729A" w:rsidRDefault="0028729A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25B77">
        <w:rPr>
          <w:sz w:val="28"/>
          <w:szCs w:val="28"/>
          <w:lang w:val="ru-RU"/>
        </w:rPr>
        <w:t xml:space="preserve">осуществлять контроль за соблюдением Правил благоустройства и санитарного содержания на территории </w:t>
      </w:r>
      <w:r w:rsidR="000D2EBF">
        <w:rPr>
          <w:sz w:val="28"/>
          <w:szCs w:val="28"/>
          <w:lang w:val="ru-RU"/>
        </w:rPr>
        <w:t>Медниковского</w:t>
      </w:r>
      <w:r w:rsidRPr="00525B77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.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При исполнении функций по осуществлению муниципального контроля должностные лица администрации поселения должны руководствоваться федеральным и областным законодательством по соответствующим направлениям. 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муниципальном уровне Администрацией поселения приняты и действуют следующие нормативно-правовые акты в сфере муниципального контроля:</w:t>
      </w:r>
    </w:p>
    <w:p w:rsidR="008C5985" w:rsidRDefault="008C5985" w:rsidP="008C598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 w:bidi="ar-SA"/>
        </w:rPr>
        <w:t>- постановление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20.10.2011 № 97 (в редакции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постановления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администрации Медниковского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от 05.03.2019 № 27)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Медниковского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должностными лицами Администрации Медниковского сельского поселения»;</w:t>
      </w:r>
    </w:p>
    <w:p w:rsidR="008C5985" w:rsidRDefault="008C5985" w:rsidP="008C598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постановление от 17.01.2012 № 20 «Об утверждении 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средств»;</w:t>
      </w:r>
    </w:p>
    <w:p w:rsidR="008C5985" w:rsidRDefault="008C5985" w:rsidP="008C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от 23.01.2012 № 30 «Об утверждении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регламента исполнения муниципальной функции контроль за соблюдением установленного порядка управления и распоряжения имуществом, находящимся в муниципальной собственности поселения»;</w:t>
      </w:r>
    </w:p>
    <w:p w:rsidR="008C5985" w:rsidRDefault="008C5985" w:rsidP="008C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Медниковского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20.10.2017 № 114 (в редакции решения Совета депутатов Медниковского сельского поселения  от 30.03.2018 № 135, от 27.12.2018 № 164, от 28.01.2021 № 31) </w:t>
      </w:r>
      <w:r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Медниковского сельского поселения»;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5985" w:rsidRDefault="008C5985" w:rsidP="008C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 от 20.01.2014 № 8 «Об утверждении Порядка осуществления ведомственного контроля в сфере закупок для обеспечения муниципальных нужд»;</w:t>
      </w:r>
    </w:p>
    <w:p w:rsidR="0028729A" w:rsidRPr="00054E51" w:rsidRDefault="008C5985" w:rsidP="00054E51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от 20.01.2014 № 9</w:t>
      </w:r>
      <w:r w:rsidRPr="00D43695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при их приватизации»</w:t>
      </w:r>
      <w:r>
        <w:rPr>
          <w:rStyle w:val="a3"/>
          <w:rFonts w:ascii="Times New Roman" w:eastAsia="Roboto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Все вышеперечисленные нормативно - правовые акты регламентируют деятельность Администрации поселения и ее должностных лиц в сфере муниципального контроля, устанавливают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в том числе возможности их исполнения и контроля. Они прошли антикоррупционную экспертизу, по результатам которой было установлено, что в них отсутствуют признаки коррупциогенности. Все вышеуказанные акты размещены на официальном сайте Администрации поселения в информационно-телекоммуникационной сети «Интернет» в разделе «Регламенты».</w:t>
      </w:r>
    </w:p>
    <w:p w:rsidR="0028729A" w:rsidRDefault="0028729A" w:rsidP="00FD0A0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Имеющиеся нормативные правовые акты в целом позволят осуществлять функции по муниципальному контролю в соответствующих сферах в полном объёме и с надлежащим качеством.</w:t>
      </w:r>
    </w:p>
    <w:p w:rsidR="00606B73" w:rsidRDefault="0028729A" w:rsidP="00FD0A0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2. Организация муниципального контроля</w:t>
      </w:r>
    </w:p>
    <w:p w:rsidR="0028729A" w:rsidRDefault="00606B73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2.1.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об организационной структуре и системе управления органов муниципального контроля</w:t>
      </w:r>
      <w:r w:rsidR="0028729A">
        <w:rPr>
          <w:rFonts w:eastAsia="Times New Roman" w:cs="Times New Roman"/>
          <w:i/>
          <w:iCs/>
          <w:color w:val="auto"/>
          <w:sz w:val="28"/>
          <w:szCs w:val="28"/>
          <w:lang w:val="ru-RU" w:eastAsia="ru-RU" w:bidi="ar-SA"/>
        </w:rPr>
        <w:t>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Полномочия по проведению муниципального контроля в той или иной сфере возложены на должностных лиц Администрации поселения. При этом муниципальный контроль должен проводиться должностными лицами на основании распоряжений Администрации поселения.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Мероприятия по муниципальному контролю должны осуществляться в плановом и внеплановом порядке. В срок до 1 сентября года, предшествующего году проведения плановых проверок в органы прокуратуры направляются проекты ежегодных планов проведения проверок для формирования Генеральной прокуратурой РФ ежегодного сводного плана проведения плановых проверок. Ежегодные планы проведения проверок должны размещаться на официальных сайтах Администрации поселения и Генеральной прокуратуры Российской Федерации. </w:t>
      </w:r>
    </w:p>
    <w:p w:rsidR="0028729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Основанием для проведения внеплановых проверок является поступление в Администрацию поселения обращений и заявлений физических и юридических лиц. Проведение внеплановых проверок осуществляется по согласованию с органами прокуратуры.</w:t>
      </w: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>2.2.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перечень и описание основных и вспомогательных (обеспечительных) функций:</w:t>
      </w:r>
    </w:p>
    <w:p w:rsidR="0028729A" w:rsidRDefault="0028729A">
      <w:pPr>
        <w:widowControl/>
        <w:suppressAutoHyphens w:val="0"/>
        <w:ind w:firstLine="567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 осуществлении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муниципального контроля</w:t>
      </w:r>
      <w:r>
        <w:rPr>
          <w:rFonts w:cs="Times New Roman"/>
          <w:b/>
          <w:bCs/>
          <w:sz w:val="28"/>
          <w:szCs w:val="28"/>
          <w:lang w:val="ru-RU"/>
        </w:rPr>
        <w:t>за обеспечением сохранности автомобильных дорог местного значения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основной функцией является </w:t>
      </w:r>
      <w:r>
        <w:rPr>
          <w:sz w:val="28"/>
          <w:szCs w:val="28"/>
          <w:lang w:val="ru-RU"/>
        </w:rPr>
        <w:t xml:space="preserve">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7" w:history="1">
        <w:r>
          <w:rPr>
            <w:sz w:val="28"/>
            <w:szCs w:val="28"/>
            <w:lang w:val="ru-RU"/>
          </w:rPr>
          <w:t>законодательства</w:t>
        </w:r>
      </w:hyperlink>
      <w:r>
        <w:rPr>
          <w:sz w:val="28"/>
          <w:szCs w:val="28"/>
          <w:lang w:val="ru-RU"/>
        </w:rPr>
        <w:t xml:space="preserve"> в области дорожной деятельности.</w:t>
      </w:r>
    </w:p>
    <w:p w:rsidR="0028729A" w:rsidRDefault="0028729A">
      <w:pPr>
        <w:widowControl/>
        <w:suppressAutoHyphens w:val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 осуществлении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муниципального финансового контроля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основной функцией является </w:t>
      </w:r>
      <w:r>
        <w:rPr>
          <w:rFonts w:cs="Times New Roman"/>
          <w:sz w:val="28"/>
          <w:szCs w:val="28"/>
          <w:lang w:val="ru-RU"/>
        </w:rPr>
        <w:t>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28729A" w:rsidRPr="00FD0A0A" w:rsidRDefault="0028729A" w:rsidP="00FD0A0A">
      <w:pPr>
        <w:widowControl/>
        <w:suppressAutoHyphens w:val="0"/>
        <w:ind w:firstLine="567"/>
        <w:jc w:val="both"/>
        <w:rPr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При осуществлении </w:t>
      </w:r>
      <w:r>
        <w:rPr>
          <w:rFonts w:cs="Times New Roman"/>
          <w:b/>
          <w:sz w:val="28"/>
          <w:szCs w:val="28"/>
          <w:lang w:val="ru-RU"/>
        </w:rPr>
        <w:t xml:space="preserve">муниципального </w:t>
      </w:r>
      <w:r>
        <w:rPr>
          <w:rFonts w:cs="Times New Roman"/>
          <w:b/>
          <w:bCs/>
          <w:sz w:val="28"/>
          <w:szCs w:val="28"/>
          <w:lang w:val="ru-RU"/>
        </w:rPr>
        <w:t xml:space="preserve">контроля </w:t>
      </w:r>
      <w:r>
        <w:rPr>
          <w:rFonts w:cs="Times New Roman"/>
          <w:b/>
          <w:sz w:val="28"/>
          <w:szCs w:val="28"/>
          <w:lang w:val="ru-RU"/>
        </w:rPr>
        <w:t xml:space="preserve">за соблюдением установленного порядка управления и распоряжения имуществом, находящимся в муниципальной собственности поселения </w:t>
      </w:r>
      <w:r>
        <w:rPr>
          <w:rFonts w:cs="Times New Roman"/>
          <w:sz w:val="28"/>
          <w:szCs w:val="28"/>
          <w:lang w:val="ru-RU"/>
        </w:rPr>
        <w:t xml:space="preserve">основной функцией является </w:t>
      </w:r>
      <w:r>
        <w:rPr>
          <w:sz w:val="28"/>
          <w:szCs w:val="28"/>
          <w:lang w:val="ru-RU" w:eastAsia="ru-RU"/>
        </w:rPr>
        <w:t>обеспечение соблюдения юридическими лицами, индивидуальными предпринимателями требований, установленных муниципальными правовыми актами либо областным законом и принятыми в соответствии с ним муниципальными правовыми актами.</w:t>
      </w: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2.3.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наименования и реквизиты нормативных правовых актов, регламентирующих порядок исполнения указанных функций:</w:t>
      </w:r>
    </w:p>
    <w:p w:rsidR="0028729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Данные сведения приведены в разделе 1 настоящего доклада.</w:t>
      </w: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2.4.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Регламентировано взаимодействие с территориальным органом Росреестра, а именно, разработано и подписано Соглашение о порядке взаимодействия между Управлением Федеральной службы государственной регистрации, кадастра и картографии по Новгородской области и Администрацией поселения по реализации полномочий, в сфере контроля за соблюдением законодательства, охраной и использованием земель (земельный контроль) и ведения адресных реестров.</w:t>
      </w:r>
    </w:p>
    <w:p w:rsidR="00552D07" w:rsidRPr="00552D07" w:rsidRDefault="00606B73" w:rsidP="00552D07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2.5.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 выполнении функций по осуществлению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</w:t>
      </w:r>
    </w:p>
    <w:p w:rsidR="0028729A" w:rsidRDefault="0028729A" w:rsidP="00552D07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Медниковском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сельском поселении организациями, подведомственными органам государственной власти и органам местного самоуправления, за 20</w:t>
      </w:r>
      <w:r w:rsidR="00552D0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проведены органами местного самоуправления 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провер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ка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 ходе которых физическим лицам были выписаны предписания по устранению нарушений в сфере благоустройства. По окончанию срока исполнения все нарушения были устранены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</w:p>
    <w:p w:rsidR="0028729A" w:rsidRPr="00921D2E" w:rsidRDefault="00921D2E" w:rsidP="00F91EF7">
      <w:pPr>
        <w:widowControl/>
        <w:suppressAutoHyphens w:val="0"/>
        <w:ind w:firstLine="42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2.6.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 проведённой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</w:t>
      </w:r>
    </w:p>
    <w:p w:rsidR="0028729A" w:rsidRDefault="0028729A" w:rsidP="00552D07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28729A" w:rsidRPr="00552D07" w:rsidRDefault="0028729A" w:rsidP="00552D07">
      <w:pPr>
        <w:widowControl/>
        <w:suppressAutoHyphens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 Финансовое и кадровое обеспечение муниципального контроля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3.1.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в том числе в расчёте на объём исполненных в отчётный период контрольных функций):</w:t>
      </w:r>
    </w:p>
    <w:p w:rsidR="0028729A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</w:t>
      </w:r>
      <w:r w:rsidR="00B03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средств на обеспечение исполнения функций по осуществлению муниципального контроля не выделялось. 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3.2.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данные о штатной численности работников органов муниципального контроля, выполняющих функции по контролю, и об укомплектовании штатной численности: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</w:t>
      </w:r>
      <w:r w:rsidR="00B03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штатная численность работников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выполняющих работу по  контролю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соблюдения Правил благоустройства территории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составила 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человек.</w:t>
      </w:r>
    </w:p>
    <w:p w:rsidR="0028729A" w:rsidRPr="00B03E9B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Штаты укомплектованы в полном объеме. 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3.3.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 квалификации работников, о мероприятиях по повышению квалификации: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Квалификация работника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выполняющего работу по контролю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соблюдения Правил благоустройства территории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соответствует направлениям осуществляемой деятельности. Специалист имеет высшее профессиональное образование.</w:t>
      </w:r>
    </w:p>
    <w:p w:rsidR="0028729A" w:rsidRPr="00B03E9B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Данны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сотрудник не проходил курсы повышения квалификации.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3.4.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данные о средней нагрузке на 1 работника по фактически выполненному в отчётный период объёму функций по контролю:</w:t>
      </w:r>
    </w:p>
    <w:p w:rsidR="0028729A" w:rsidRPr="00B03E9B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</w:t>
      </w:r>
      <w:r w:rsidR="00B03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проверки соблюдения 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Правил благоустройства территории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отношении граждан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проведена</w:t>
      </w:r>
      <w:r w:rsidR="00B3243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провер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в отношении юридических лиц и индивидуальных предпринимателей не проводились. 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3.5.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численность экспертов и представителей экспертных организаций, привлекаемых к проведению мероприятий по контролю:</w:t>
      </w:r>
    </w:p>
    <w:p w:rsidR="0028729A" w:rsidRPr="00B03E9B" w:rsidRDefault="0028729A" w:rsidP="00B03E9B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28729A" w:rsidRPr="00B03E9B" w:rsidRDefault="0028729A" w:rsidP="00B03E9B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4. Проведение муниципального контроля</w:t>
      </w: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4.1.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сведения, характеризующие выполненную в отчётный период работу по осуществлению муниципального контроля по соответствующим сферам деятельности: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Всего в 20</w:t>
      </w:r>
      <w:r w:rsidR="00B03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на территории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по 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соблюдению Правил благоустройства территории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проведена 31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провер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ка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Выявлено 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17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нарушени</w:t>
      </w:r>
      <w:r w:rsidR="00B03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выданы предписания об устранении нарушений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соблюдения Правил благоустройства территории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отношении юридических лиц и индивидуальных предпринимателей  проверкине проводились.</w:t>
      </w:r>
    </w:p>
    <w:p w:rsidR="0028729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иных сферах муниципального контроля плановые проверки не проводились. Для проведения внеплановых проверок оснований, предусмотренных статьей 10 Федерального закона от 26 декабря 2008 года № 294-ФЗ «О защите прав юридических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лиц и индивидуальных предпринимателей при осуществлении государственного контроля (надзора) и муниципального контроля» не было. </w:t>
      </w:r>
    </w:p>
    <w:p w:rsidR="0028729A" w:rsidRPr="006304F3" w:rsidRDefault="006304F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4.2.</w:t>
      </w:r>
      <w:r w:rsidR="0028729A" w:rsidRPr="006304F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сведения о результатах работы экспертов и экспертных организаций, привлекаемых к проведению мероприятий по контролю:</w:t>
      </w:r>
    </w:p>
    <w:p w:rsidR="0028729A" w:rsidRPr="00FD0A0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28729A" w:rsidRDefault="0028729A" w:rsidP="00FD0A0A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28729A" w:rsidRPr="00FD0A0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Действия по пресечению нарушений обязательных требований и (или) устранению последствий таких нарушений, выявлено </w:t>
      </w:r>
      <w:r w:rsidR="00F91EF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17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нарушени</w:t>
      </w:r>
      <w:r w:rsidR="00FD0A0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выданы предписания об устранении нарушения.</w:t>
      </w:r>
    </w:p>
    <w:p w:rsidR="0028729A" w:rsidRDefault="0028729A" w:rsidP="00FD0A0A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6. Анализ и оценка эффективности муниципального контроля</w:t>
      </w:r>
    </w:p>
    <w:p w:rsidR="0028729A" w:rsidRPr="00FD0A0A" w:rsidRDefault="0028729A" w:rsidP="00FD0A0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20</w:t>
      </w:r>
      <w:r w:rsidR="00FD0A0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на территории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плановые и внеплановые проверки юридических лиц и индивидуальных предпринимателей в рамках муниципального контроля в соответствующих сферах деятельности не проводились. </w:t>
      </w:r>
    </w:p>
    <w:p w:rsidR="0028729A" w:rsidRPr="00FD0A0A" w:rsidRDefault="0028729A" w:rsidP="00FD0A0A">
      <w:pPr>
        <w:widowControl/>
        <w:suppressAutoHyphens w:val="0"/>
        <w:jc w:val="center"/>
        <w:rPr>
          <w:rFonts w:eastAsia="Times New Roman" w:cs="Times New Roman"/>
          <w:b/>
          <w:bCs/>
          <w:i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Cs/>
          <w:color w:val="auto"/>
          <w:sz w:val="28"/>
          <w:szCs w:val="28"/>
          <w:lang w:val="ru-RU" w:eastAsia="ru-RU" w:bidi="ar-SA"/>
        </w:rPr>
        <w:t>7. Выводы и предложения по результатам муниципального контроля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Для более эффективной работы в 20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D0A0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в соответствующих сферах муниципального контроля Администрацией поселения планируется проводить работу, направленную на получение информации об юридических лицах и индивидуальных предпринимателях, осуществляющих свою деятельность на территории </w:t>
      </w:r>
      <w:r w:rsidR="000D2EB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для последующего включения в план проведения проверок на 20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D0A0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целях повышения эффективности осуществления муниципального контроля в соответствующих отраслях необходимо: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систематическое проведение практических семинаров по вопросам осуществления муниципального контроля;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контроля.</w:t>
      </w:r>
    </w:p>
    <w:p w:rsidR="0028729A" w:rsidRPr="00525B77" w:rsidRDefault="0028729A">
      <w:pPr>
        <w:widowControl/>
        <w:suppressAutoHyphens w:val="0"/>
        <w:rPr>
          <w:rFonts w:eastAsia="Times New Roman"/>
          <w:b/>
          <w:sz w:val="28"/>
          <w:szCs w:val="28"/>
          <w:lang w:val="ru-RU" w:eastAsia="ru-RU"/>
        </w:rPr>
      </w:pPr>
    </w:p>
    <w:p w:rsidR="0028729A" w:rsidRPr="00525B77" w:rsidRDefault="0028729A">
      <w:pPr>
        <w:widowControl/>
        <w:suppressAutoHyphens w:val="0"/>
        <w:rPr>
          <w:rFonts w:eastAsia="Times New Roman"/>
          <w:b/>
          <w:sz w:val="28"/>
          <w:szCs w:val="28"/>
          <w:lang w:val="ru-RU" w:eastAsia="ru-RU"/>
        </w:rPr>
      </w:pPr>
    </w:p>
    <w:p w:rsidR="0028729A" w:rsidRPr="00525B77" w:rsidRDefault="0028729A">
      <w:pPr>
        <w:widowControl/>
        <w:suppressAutoHyphens w:val="0"/>
        <w:rPr>
          <w:rFonts w:eastAsia="Times New Roman"/>
          <w:b/>
          <w:sz w:val="28"/>
          <w:szCs w:val="28"/>
          <w:lang w:val="ru-RU" w:eastAsia="ru-RU"/>
        </w:rPr>
      </w:pPr>
      <w:r w:rsidRPr="00525B77">
        <w:rPr>
          <w:rFonts w:eastAsia="Times New Roman"/>
          <w:b/>
          <w:sz w:val="28"/>
          <w:szCs w:val="28"/>
          <w:lang w:val="ru-RU" w:eastAsia="ru-RU"/>
        </w:rPr>
        <w:t>Глава администрации</w:t>
      </w:r>
    </w:p>
    <w:p w:rsidR="0028729A" w:rsidRDefault="000D2EB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Медниковского</w:t>
      </w:r>
      <w:r w:rsidR="002872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      </w:t>
      </w:r>
      <w:r w:rsidR="00F91EF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91EF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91EF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91EF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91EF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91EF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Ю.В. Иванова</w:t>
      </w:r>
    </w:p>
    <w:p w:rsidR="0028729A" w:rsidRPr="00525B77" w:rsidRDefault="0028729A">
      <w:pPr>
        <w:rPr>
          <w:lang w:val="ru-RU"/>
        </w:rPr>
      </w:pPr>
    </w:p>
    <w:sectPr w:rsidR="0028729A" w:rsidRPr="00525B77" w:rsidSect="007C0377">
      <w:footerReference w:type="default" r:id="rId8"/>
      <w:footerReference w:type="first" r:id="rId9"/>
      <w:footnotePr>
        <w:pos w:val="beneathText"/>
      </w:footnotePr>
      <w:pgSz w:w="11905" w:h="16837"/>
      <w:pgMar w:top="898" w:right="562" w:bottom="339" w:left="1138" w:header="720" w:footer="6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69" w:rsidRDefault="00B16C69">
      <w:r>
        <w:separator/>
      </w:r>
    </w:p>
  </w:endnote>
  <w:endnote w:type="continuationSeparator" w:id="1">
    <w:p w:rsidR="00B16C69" w:rsidRDefault="00B1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A" w:rsidRDefault="002872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A" w:rsidRDefault="002872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69" w:rsidRDefault="00B16C69">
      <w:r>
        <w:separator/>
      </w:r>
    </w:p>
  </w:footnote>
  <w:footnote w:type="continuationSeparator" w:id="1">
    <w:p w:rsidR="00B16C69" w:rsidRDefault="00B16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F29"/>
    <w:multiLevelType w:val="hybridMultilevel"/>
    <w:tmpl w:val="9FA6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54E51"/>
    <w:rsid w:val="000657E6"/>
    <w:rsid w:val="000716D2"/>
    <w:rsid w:val="00071AAB"/>
    <w:rsid w:val="00082D67"/>
    <w:rsid w:val="000A4F11"/>
    <w:rsid w:val="000B76C4"/>
    <w:rsid w:val="000C5610"/>
    <w:rsid w:val="000D2EBF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41C2"/>
    <w:rsid w:val="00196AB1"/>
    <w:rsid w:val="001A5409"/>
    <w:rsid w:val="001A71D7"/>
    <w:rsid w:val="00201333"/>
    <w:rsid w:val="00210FA7"/>
    <w:rsid w:val="00216417"/>
    <w:rsid w:val="0026631D"/>
    <w:rsid w:val="0028729A"/>
    <w:rsid w:val="002B7F6D"/>
    <w:rsid w:val="002C2F53"/>
    <w:rsid w:val="003248FD"/>
    <w:rsid w:val="0033518C"/>
    <w:rsid w:val="003419DE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25B77"/>
    <w:rsid w:val="00552D07"/>
    <w:rsid w:val="005647F2"/>
    <w:rsid w:val="005662D1"/>
    <w:rsid w:val="00573A09"/>
    <w:rsid w:val="005A4526"/>
    <w:rsid w:val="005C1B16"/>
    <w:rsid w:val="005E53D0"/>
    <w:rsid w:val="006002EB"/>
    <w:rsid w:val="00606B73"/>
    <w:rsid w:val="006128EF"/>
    <w:rsid w:val="006264B4"/>
    <w:rsid w:val="006304F3"/>
    <w:rsid w:val="00643033"/>
    <w:rsid w:val="00644CC3"/>
    <w:rsid w:val="00661468"/>
    <w:rsid w:val="00663836"/>
    <w:rsid w:val="006649F0"/>
    <w:rsid w:val="006712FB"/>
    <w:rsid w:val="0067245D"/>
    <w:rsid w:val="0068470E"/>
    <w:rsid w:val="00692B23"/>
    <w:rsid w:val="00695DCD"/>
    <w:rsid w:val="006A05CC"/>
    <w:rsid w:val="006A35A7"/>
    <w:rsid w:val="006E0F3D"/>
    <w:rsid w:val="007152D7"/>
    <w:rsid w:val="00746C14"/>
    <w:rsid w:val="007C0377"/>
    <w:rsid w:val="007C2C59"/>
    <w:rsid w:val="00801F23"/>
    <w:rsid w:val="00837632"/>
    <w:rsid w:val="0085640F"/>
    <w:rsid w:val="008567AA"/>
    <w:rsid w:val="00892712"/>
    <w:rsid w:val="008A680A"/>
    <w:rsid w:val="008B0BB0"/>
    <w:rsid w:val="008B6B1F"/>
    <w:rsid w:val="008C5985"/>
    <w:rsid w:val="008E6C4B"/>
    <w:rsid w:val="008F18C0"/>
    <w:rsid w:val="00907648"/>
    <w:rsid w:val="00921D2E"/>
    <w:rsid w:val="00930FDE"/>
    <w:rsid w:val="00984C93"/>
    <w:rsid w:val="00987CE1"/>
    <w:rsid w:val="0099405C"/>
    <w:rsid w:val="009C600F"/>
    <w:rsid w:val="009D3723"/>
    <w:rsid w:val="009E04F2"/>
    <w:rsid w:val="009F2DE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03E9B"/>
    <w:rsid w:val="00B13A52"/>
    <w:rsid w:val="00B16C69"/>
    <w:rsid w:val="00B224CB"/>
    <w:rsid w:val="00B24CF4"/>
    <w:rsid w:val="00B26993"/>
    <w:rsid w:val="00B32431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1548A"/>
    <w:rsid w:val="00D21BDD"/>
    <w:rsid w:val="00D37AAE"/>
    <w:rsid w:val="00D43695"/>
    <w:rsid w:val="00D65F07"/>
    <w:rsid w:val="00D92BB7"/>
    <w:rsid w:val="00DC76D2"/>
    <w:rsid w:val="00DD30ED"/>
    <w:rsid w:val="00E64C21"/>
    <w:rsid w:val="00EC24C6"/>
    <w:rsid w:val="00EE1CDC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1EF7"/>
    <w:rsid w:val="00F948AD"/>
    <w:rsid w:val="00FD0A0A"/>
    <w:rsid w:val="09D0337B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37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0377"/>
    <w:rPr>
      <w:b/>
      <w:bCs/>
    </w:rPr>
  </w:style>
  <w:style w:type="paragraph" w:styleId="a4">
    <w:name w:val="footer"/>
    <w:basedOn w:val="a"/>
    <w:rsid w:val="007C037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next w:val="a"/>
    <w:rsid w:val="007C0377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Title">
    <w:name w:val="ConsPlusTitle"/>
    <w:basedOn w:val="a"/>
    <w:next w:val="ConsPlusNormal"/>
    <w:rsid w:val="007C0377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Title">
    <w:name w:val="ConsTitle"/>
    <w:rsid w:val="007C0377"/>
    <w:pPr>
      <w:widowControl w:val="0"/>
      <w:suppressAutoHyphens/>
      <w:ind w:right="19772"/>
    </w:pPr>
    <w:rPr>
      <w:rFonts w:ascii="Arial" w:eastAsia="Arial" w:hAnsi="Arial"/>
      <w:b/>
      <w:lang w:eastAsia="ar-SA"/>
    </w:rPr>
  </w:style>
  <w:style w:type="paragraph" w:styleId="a5">
    <w:name w:val="List Paragraph"/>
    <w:basedOn w:val="a"/>
    <w:uiPriority w:val="99"/>
    <w:qFormat/>
    <w:rsid w:val="000D2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800;fld=134;dst=1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consultantplus://offline/main?base=LAW;n=112800;fld=134;dst=100023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8</cp:revision>
  <cp:lastPrinted>2020-07-29T08:45:00Z</cp:lastPrinted>
  <dcterms:created xsi:type="dcterms:W3CDTF">2022-07-14T06:20:00Z</dcterms:created>
  <dcterms:modified xsi:type="dcterms:W3CDTF">2022-10-05T08:51:00Z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